
<file path=[Content_Types].xml><?xml version="1.0" encoding="utf-8"?>
<Types xmlns="http://schemas.openxmlformats.org/package/2006/content-types">
  <Default Extension="svg" ContentType="image/svg+xml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ind w:firstLine="0"/>
        <w:jc w:val="center"/>
        <w:rPr>
          <w:rFonts w:eastAsiaTheme="minorEastAsia"/>
          <w:b/>
          <w:sz w:val="34"/>
          <w:szCs w:val="28"/>
          <w:lang w:val="en-US"/>
        </w:rPr>
      </w:pPr>
      <w:r>
        <w:rPr>
          <w:rFonts w:eastAsiaTheme="minorEastAsia"/>
          <w:b/>
          <w:sz w:val="34"/>
          <w:szCs w:val="28"/>
        </w:rPr>
      </w:r>
      <w:r>
        <w:rPr>
          <w:rFonts w:ascii="PT Astra Serif" w:hAnsi="PT Astra Serif" w:eastAsia="PT Astra Serif" w:cs="PT Astra Serif"/>
          <w:b/>
          <w:sz w:val="3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6760" cy="9067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0413745" name=""/>
                        <pic:cNvPicPr/>
                        <pic:nvPr/>
                      </pic:nvPicPr>
                      <pic:blipFill>
                        <a:blip r:embed="rId15">
                          <a:extLst>
                            <a:ext uri="{96DAC541-7B7A-43D3-8B79-37D633B846F1}">
                              <asvg:svgBlip xmlns:asvg="http://schemas.microsoft.com/office/drawing/2016/SVG/main" r:embed="rId16"/>
                            </a:ext>
                          </a:extLst>
                        </a:blip>
                        <a:stretch/>
                      </pic:blipFill>
                      <pic:spPr bwMode="auto">
                        <a:xfrm rot="0" flipH="0" flipV="0">
                          <a:off x="0" y="0"/>
                          <a:ext cx="746759" cy="9067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80pt;height:71.40pt;mso-wrap-distance-left:0.00pt;mso-wrap-distance-top:0.00pt;mso-wrap-distance-right:0.00pt;mso-wrap-distance-bottom:0.00pt;rotation:0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eastAsiaTheme="minorEastAsia"/>
          <w:b/>
          <w:sz w:val="34"/>
          <w:szCs w:val="28"/>
          <w:lang w:val="en-US"/>
        </w:rPr>
      </w:r>
      <w:r>
        <w:rPr>
          <w:rFonts w:eastAsiaTheme="minorEastAsia"/>
          <w:b/>
          <w:sz w:val="34"/>
          <w:szCs w:val="28"/>
          <w:lang w:val="en-US"/>
        </w:rPr>
      </w:r>
    </w:p>
    <w:p>
      <w:pPr>
        <w:spacing w:after="0" w:line="240" w:lineRule="auto"/>
        <w:ind w:firstLine="0"/>
        <w:jc w:val="center"/>
        <w:rPr>
          <w:rFonts w:ascii="PT Astra Serif" w:hAnsi="PT Astra Serif" w:cs="PT Astra Serif"/>
          <w:b/>
          <w:sz w:val="34"/>
          <w:szCs w:val="28"/>
        </w:rPr>
      </w:pPr>
      <w:r>
        <w:rPr>
          <w:rFonts w:ascii="PT Astra Serif" w:hAnsi="PT Astra Serif" w:eastAsia="PT Astra Serif" w:cs="PT Astra Serif" w:eastAsiaTheme="minorEastAsia"/>
          <w:b/>
          <w:sz w:val="34"/>
          <w:szCs w:val="28"/>
        </w:rPr>
        <w:t xml:space="preserve">ЦЕНТРАЛЬНАЯ ИЗБИРАТЕЛЬНАЯ КОМИССИЯ</w:t>
      </w:r>
      <w:r>
        <w:rPr>
          <w:rFonts w:ascii="PT Astra Serif" w:hAnsi="PT Astra Serif" w:eastAsia="PT Astra Serif" w:cs="PT Astra Serif" w:eastAsiaTheme="minorEastAsia"/>
          <w:b/>
          <w:sz w:val="34"/>
          <w:szCs w:val="28"/>
        </w:rPr>
        <w:br/>
        <w:t xml:space="preserve">РОССИЙСКОЙ ФЕДЕРАЦИИ</w:t>
      </w:r>
      <w:r>
        <w:rPr>
          <w:rFonts w:ascii="PT Astra Serif" w:hAnsi="PT Astra Serif" w:cs="PT Astra Serif"/>
          <w:b/>
          <w:sz w:val="34"/>
          <w:szCs w:val="28"/>
        </w:rPr>
      </w:r>
      <w:r>
        <w:rPr>
          <w:rFonts w:ascii="PT Astra Serif" w:hAnsi="PT Astra Serif" w:cs="PT Astra Serif"/>
          <w:b/>
          <w:sz w:val="34"/>
          <w:szCs w:val="28"/>
        </w:rPr>
      </w:r>
    </w:p>
    <w:p>
      <w:pPr>
        <w:spacing w:after="0" w:line="240" w:lineRule="auto"/>
        <w:ind w:firstLine="0"/>
        <w:jc w:val="center"/>
        <w:rPr>
          <w:rFonts w:ascii="PT Astra Serif" w:hAnsi="PT Astra Serif" w:cs="PT Astra Serif"/>
          <w:szCs w:val="28"/>
        </w:rPr>
      </w:pPr>
      <w:r>
        <w:rPr>
          <w:rFonts w:ascii="PT Astra Serif" w:hAnsi="PT Astra Serif" w:eastAsia="PT Astra Serif" w:cs="PT Astra Serif" w:eastAsiaTheme="minorEastAsia"/>
          <w:sz w:val="28"/>
          <w:szCs w:val="28"/>
        </w:rPr>
      </w:r>
      <w:r>
        <w:rPr>
          <w:rFonts w:ascii="PT Astra Serif" w:hAnsi="PT Astra Serif" w:cs="PT Astra Serif"/>
          <w:szCs w:val="28"/>
        </w:rPr>
      </w:r>
      <w:r>
        <w:rPr>
          <w:rFonts w:ascii="PT Astra Serif" w:hAnsi="PT Astra Serif" w:cs="PT Astra Serif"/>
          <w:szCs w:val="28"/>
        </w:rPr>
      </w:r>
    </w:p>
    <w:p>
      <w:pPr>
        <w:spacing w:after="0" w:line="240" w:lineRule="auto"/>
        <w:ind w:firstLine="0"/>
        <w:jc w:val="center"/>
        <w:rPr>
          <w:rFonts w:ascii="PT Astra Serif" w:hAnsi="PT Astra Serif" w:cs="PT Astra Serif"/>
          <w:b/>
          <w:spacing w:val="60"/>
          <w:sz w:val="32"/>
          <w:szCs w:val="28"/>
        </w:rPr>
      </w:pPr>
      <w:r>
        <w:rPr>
          <w:rFonts w:ascii="PT Astra Serif" w:hAnsi="PT Astra Serif" w:eastAsia="PT Astra Serif" w:cs="PT Astra Serif" w:eastAsiaTheme="minorEastAsia"/>
          <w:b/>
          <w:spacing w:val="60"/>
          <w:sz w:val="32"/>
          <w:szCs w:val="28"/>
        </w:rPr>
        <w:t xml:space="preserve">ПОСТАНОВЛЕНИЕ</w:t>
      </w:r>
      <w:r>
        <w:rPr>
          <w:rFonts w:ascii="PT Astra Serif" w:hAnsi="PT Astra Serif" w:cs="PT Astra Serif"/>
          <w:b/>
          <w:spacing w:val="60"/>
          <w:sz w:val="32"/>
          <w:szCs w:val="28"/>
        </w:rPr>
      </w:r>
      <w:r>
        <w:rPr>
          <w:rFonts w:ascii="PT Astra Serif" w:hAnsi="PT Astra Serif" w:cs="PT Astra Serif"/>
          <w:b/>
          <w:spacing w:val="60"/>
          <w:sz w:val="32"/>
          <w:szCs w:val="28"/>
        </w:rPr>
      </w:r>
    </w:p>
    <w:p>
      <w:pPr>
        <w:spacing w:after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 w:eastAsiaTheme="minorEastAsia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>
        <w:trPr>
          <w:trHeight w:val="287"/>
        </w:trPr>
        <w:tblPrEx/>
        <w:tc>
          <w:tcPr>
            <w:tcW w:w="3107" w:type="dxa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ind w:firstLine="0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20 мая 2026 г.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W w:w="3107" w:type="dxa"/>
            <w:noWrap w:val="false"/>
            <w:textDirection w:val="lrTb"/>
          </w:tcPr>
          <w:p>
            <w:pPr>
              <w:spacing w:after="0" w:line="240" w:lineRule="auto"/>
              <w:ind w:firstLine="0"/>
              <w:jc w:val="right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W w:w="3107" w:type="dxa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ind w:firstLine="0"/>
              <w:jc w:val="left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6/68-9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</w:tr>
    </w:tbl>
    <w:p>
      <w:pPr>
        <w:spacing w:after="0" w:line="240" w:lineRule="auto"/>
        <w:ind w:firstLine="0"/>
        <w:jc w:val="center"/>
        <w:rPr>
          <w:rFonts w:ascii="PT Astra Serif" w:hAnsi="PT Astra Serif" w:cs="PT Astra Serif"/>
          <w:b/>
          <w:sz w:val="24"/>
          <w:szCs w:val="28"/>
        </w:rPr>
      </w:pPr>
      <w:r>
        <w:rPr>
          <w:rFonts w:ascii="PT Astra Serif" w:hAnsi="PT Astra Serif" w:eastAsia="PT Astra Serif" w:cs="PT Astra Serif" w:eastAsiaTheme="minorEastAsia"/>
          <w:b/>
          <w:sz w:val="22"/>
          <w:szCs w:val="24"/>
        </w:rPr>
        <w:t xml:space="preserve">Москва</w:t>
      </w:r>
      <w:r>
        <w:rPr>
          <w:rFonts w:ascii="PT Astra Serif" w:hAnsi="PT Astra Serif" w:cs="PT Astra Serif"/>
          <w:b/>
          <w:sz w:val="24"/>
          <w:szCs w:val="28"/>
        </w:rPr>
      </w:r>
      <w:r>
        <w:rPr>
          <w:rFonts w:ascii="PT Astra Serif" w:hAnsi="PT Astra Serif" w:cs="PT Astra Serif"/>
          <w:b/>
          <w:sz w:val="24"/>
          <w:szCs w:val="28"/>
        </w:rPr>
      </w:r>
    </w:p>
    <w:p>
      <w:pPr>
        <w:spacing w:before="120" w:after="0" w:line="240" w:lineRule="auto"/>
        <w:ind w:left="0" w:right="0" w:firstLine="0"/>
        <w:contextualSpacing/>
        <w:jc w:val="center"/>
        <w:rPr>
          <w:rFonts w:ascii="PT Astra Serif" w:hAnsi="PT Astra Serif" w:cs="PT Astra Serif"/>
          <w:b/>
          <w:bCs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</w:rPr>
      </w:r>
      <w:r>
        <w:rPr>
          <w:rFonts w:ascii="PT Astra Serif" w:hAnsi="PT Astra Serif" w:cs="PT Astra Serif"/>
          <w:b/>
          <w:bCs/>
          <w:sz w:val="28"/>
          <w:szCs w:val="28"/>
          <w14:ligatures w14:val="none"/>
        </w:rPr>
      </w:r>
    </w:p>
    <w:p>
      <w:pPr>
        <w:spacing w:before="120" w:after="0" w:line="240" w:lineRule="auto"/>
        <w:ind w:left="0" w:right="0" w:firstLine="0"/>
        <w:contextualSpacing/>
        <w:jc w:val="center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  <w14:ligatures w14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  <w14:ligatures w14:val="none"/>
        </w:rPr>
      </w:r>
    </w:p>
    <w:p>
      <w:pPr>
        <w:spacing w:before="120" w:after="0" w:line="240" w:lineRule="auto"/>
        <w:ind w:left="0" w:right="0" w:firstLine="0"/>
        <w:contextualSpacing/>
        <w:jc w:val="center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  <w14:ligatures w14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О Порядке представления и формах списка назначенных наблюдателей </w:t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  <w14:ligatures w14:val="none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  <w14:ligatures w14:val="none"/>
        </w:rPr>
      </w:r>
    </w:p>
    <w:p>
      <w:pPr>
        <w:spacing w:before="120" w:after="0" w:line="240" w:lineRule="auto"/>
        <w:ind w:left="0" w:right="0" w:firstLine="0"/>
        <w:contextualSpacing/>
        <w:jc w:val="center"/>
        <w:rPr>
          <w:rFonts w:ascii="PT Astra Serif" w:hAnsi="PT Astra Serif" w:cs="PT Astra Serif"/>
          <w:b/>
          <w:bCs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при проведении </w:t>
      </w: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выборов, референдумов </w:t>
      </w:r>
      <w:r>
        <w:rPr>
          <w:rFonts w:ascii="PT Astra Serif" w:hAnsi="PT Astra Serif" w:cs="PT Astra Serif"/>
          <w:b/>
          <w:bCs/>
          <w:sz w:val="28"/>
          <w:szCs w:val="28"/>
          <w14:ligatures w14:val="none"/>
        </w:rPr>
      </w:r>
      <w:r>
        <w:rPr>
          <w:rFonts w:ascii="PT Astra Serif" w:hAnsi="PT Astra Serif" w:cs="PT Astra Serif"/>
          <w:b/>
          <w:bCs/>
          <w:sz w:val="28"/>
          <w:szCs w:val="28"/>
          <w14:ligatures w14:val="none"/>
        </w:rPr>
      </w:r>
    </w:p>
    <w:p>
      <w:pPr>
        <w:spacing w:before="120" w:after="0" w:line="240" w:lineRule="auto"/>
        <w:ind w:left="0" w:right="0" w:firstLine="0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  <w:lang w:eastAsia="ru-RU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целях обеспечения гласности в деятельности избирательных комиссий, комиссий референдума, руководствуясь </w:t>
      </w:r>
      <w:hyperlink r:id="rId17" w:tooltip="https://login.consultant.ru/link/?req=doc&amp;base=LAW&amp;n=523288&amp;dst=100260&amp;field=134&amp;date=22.04.2026" w:history="1">
        <w:r>
          <w:rPr>
            <w:rFonts w:ascii="PT Astra Serif" w:hAnsi="PT Astra Serif" w:eastAsia="PT Astra Serif" w:cs="PT Astra Serif"/>
            <w:sz w:val="28"/>
            <w:szCs w:val="28"/>
            <w:lang w:eastAsia="ru-RU"/>
          </w:rPr>
          <w:t xml:space="preserve">статьями 21</w:t>
        </w:r>
      </w:hyperlink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и </w:t>
      </w:r>
      <w:hyperlink r:id="rId18" w:tooltip="https://login.consultant.ru/link/?req=doc&amp;base=LAW&amp;n=523288&amp;dst=100482&amp;field=134&amp;date=22.04.2026" w:history="1">
        <w:r>
          <w:rPr>
            <w:rFonts w:ascii="PT Astra Serif" w:hAnsi="PT Astra Serif" w:eastAsia="PT Astra Serif" w:cs="PT Astra Serif"/>
            <w:sz w:val="28"/>
            <w:szCs w:val="28"/>
            <w:lang w:eastAsia="ru-RU"/>
          </w:rPr>
          <w:t xml:space="preserve">30</w:t>
        </w:r>
      </w:hyperlink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Федерального закона «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Об основных 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»,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Центральная избирательная комиссия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/>
          <w:bCs/>
          <w:spacing w:val="80"/>
          <w:sz w:val="28"/>
          <w:szCs w:val="28"/>
        </w:rPr>
        <w:t xml:space="preserve">постановляет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: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tabs>
          <w:tab w:val="left" w:pos="567" w:leader="none"/>
          <w:tab w:val="left" w:pos="1134" w:leader="none"/>
        </w:tabs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 Утвердить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оряд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к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представления и формы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списка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назначенных наблюдателей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 проведении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выборов, референдумов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(прилагаетс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я)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tabs>
          <w:tab w:val="left" w:pos="567" w:leader="none"/>
          <w:tab w:val="left" w:pos="1134" w:leader="none"/>
        </w:tabs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2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Опубликовать настоящее постановление в официальном печатном органе Центральной избирательно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й комиссии Российской Федерации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– журнале «Вестник Центральной избирательной комиссии Российской</w:t>
      </w:r>
      <w:r>
        <w:rPr>
          <w:rFonts w:ascii="PT Astra Serif" w:hAnsi="PT Astra Serif" w:eastAsia="PT Astra Serif" w:cs="PT Astra Serif"/>
          <w:sz w:val="28"/>
          <w:szCs w:val="28"/>
          <w:lang w:val="en-US" w:eastAsia="ru-RU"/>
        </w:rPr>
        <w:t xml:space="preserve">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Федерации» и официальном сетевом издании «Вестник Центральной избирательной комиссии Российской Федерации».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Style w:val="1005"/>
        <w:spacing w:before="0" w:line="240" w:lineRule="auto"/>
        <w:ind w:firstLine="720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</w:r>
      <w:r>
        <w:rPr>
          <w:rFonts w:ascii="PT Astra Serif" w:hAnsi="PT Astra Serif"/>
          <w:b w:val="0"/>
          <w:bCs w:val="0"/>
          <w:sz w:val="28"/>
          <w:szCs w:val="28"/>
        </w:rPr>
      </w:r>
      <w:r>
        <w:rPr>
          <w:rFonts w:ascii="PT Astra Serif" w:hAnsi="PT Astra Serif"/>
          <w:b w:val="0"/>
          <w:bCs w:val="0"/>
          <w:sz w:val="28"/>
          <w:szCs w:val="28"/>
        </w:rPr>
      </w:r>
    </w:p>
    <w:p>
      <w:pPr>
        <w:pStyle w:val="1005"/>
        <w:spacing w:before="0" w:line="240" w:lineRule="auto"/>
        <w:ind w:firstLine="720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Cs w:val="28"/>
        </w:rPr>
      </w:r>
      <w:r>
        <w:rPr>
          <w:rFonts w:ascii="PT Astra Serif" w:hAnsi="PT Astra Serif"/>
          <w:b w:val="0"/>
          <w:bCs w:val="0"/>
          <w:sz w:val="28"/>
          <w:szCs w:val="28"/>
        </w:rPr>
      </w:r>
      <w:r>
        <w:rPr>
          <w:rFonts w:ascii="PT Astra Serif" w:hAnsi="PT Astra Serif"/>
          <w:b w:val="0"/>
          <w:bCs w:val="0"/>
          <w:sz w:val="28"/>
          <w:szCs w:val="28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386"/>
        <w:gridCol w:w="3969"/>
      </w:tblGrid>
      <w:tr>
        <w:trPr/>
        <w:tblPrEx/>
        <w:tc>
          <w:tcPr>
            <w:tcW w:w="5386" w:type="dxa"/>
            <w:noWrap w:val="false"/>
            <w:textDirection w:val="lrTb"/>
          </w:tcPr>
          <w:p>
            <w:pPr>
              <w:pStyle w:val="1008"/>
              <w:ind w:right="459" w:firstLine="0"/>
              <w:jc w:val="center"/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Председатель</w:t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</w:p>
          <w:p>
            <w:pPr>
              <w:pStyle w:val="1008"/>
              <w:ind w:right="459" w:firstLine="0"/>
              <w:jc w:val="center"/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Центральной избирательной комиссии Российской Федерации</w:t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</w:p>
        </w:tc>
        <w:tc>
          <w:tcPr>
            <w:tcW w:w="3969" w:type="dxa"/>
            <w:noWrap w:val="false"/>
            <w:textDirection w:val="lrTb"/>
            <w:vAlign w:val="bottom"/>
          </w:tcPr>
          <w:p>
            <w:pPr>
              <w:pStyle w:val="1008"/>
              <w:suppressLineNumbers w:val="0"/>
              <w:ind w:right="0" w:firstLine="0"/>
              <w:jc w:val="right"/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Э.А. Памфилова</w:t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</w:p>
        </w:tc>
      </w:tr>
      <w:tr>
        <w:trPr/>
        <w:tblPrEx/>
        <w:tc>
          <w:tcPr>
            <w:tcW w:w="5386" w:type="dxa"/>
            <w:noWrap w:val="false"/>
            <w:textDirection w:val="lrTb"/>
          </w:tcPr>
          <w:p>
            <w:pPr>
              <w:pStyle w:val="1008"/>
              <w:ind w:right="459" w:firstLine="0"/>
              <w:jc w:val="center"/>
              <w:rPr>
                <w:rFonts w:ascii="PT Astra Serif" w:hAnsi="PT Astra Serif" w:cs="PT Astra Serif"/>
                <w:color w:val="000000" w:themeColor="text1"/>
                <w:spacing w:val="4"/>
                <w:sz w:val="22"/>
                <w:szCs w:val="16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18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2"/>
                <w:szCs w:val="16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2"/>
                <w:szCs w:val="16"/>
                <w14:ligatures w14:val="none"/>
              </w:rPr>
            </w:r>
          </w:p>
        </w:tc>
        <w:tc>
          <w:tcPr>
            <w:tcW w:w="3969" w:type="dxa"/>
            <w:noWrap w:val="false"/>
            <w:textDirection w:val="lrTb"/>
          </w:tcPr>
          <w:p>
            <w:pPr>
              <w:pStyle w:val="1008"/>
              <w:suppressLineNumbers w:val="0"/>
              <w:ind w:right="0" w:firstLine="0"/>
              <w:jc w:val="right"/>
              <w:rPr>
                <w:rFonts w:ascii="PT Astra Serif" w:hAnsi="PT Astra Serif" w:cs="PT Astra Serif"/>
                <w:color w:val="000000" w:themeColor="text1"/>
                <w:spacing w:val="4"/>
                <w:sz w:val="22"/>
                <w:szCs w:val="16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18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2"/>
                <w:szCs w:val="16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2"/>
                <w:szCs w:val="16"/>
                <w14:ligatures w14:val="none"/>
              </w:rPr>
            </w:r>
          </w:p>
        </w:tc>
      </w:tr>
      <w:tr>
        <w:trPr/>
        <w:tblPrEx/>
        <w:tc>
          <w:tcPr>
            <w:tcW w:w="5386" w:type="dxa"/>
            <w:noWrap w:val="false"/>
            <w:textDirection w:val="lrTb"/>
          </w:tcPr>
          <w:p>
            <w:pPr>
              <w:pStyle w:val="1008"/>
              <w:ind w:right="459" w:firstLine="0"/>
              <w:jc w:val="center"/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Секретарь</w:t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</w:p>
          <w:p>
            <w:pPr>
              <w:pStyle w:val="1008"/>
              <w:ind w:right="459" w:firstLine="0"/>
              <w:jc w:val="center"/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Центральной избирательной комиссии</w:t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</w:p>
          <w:p>
            <w:pPr>
              <w:pStyle w:val="1008"/>
              <w:ind w:right="459" w:firstLine="0"/>
              <w:jc w:val="center"/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Российской Федерации</w:t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</w:p>
        </w:tc>
        <w:tc>
          <w:tcPr>
            <w:tcW w:w="3969" w:type="dxa"/>
            <w:noWrap w:val="false"/>
            <w:textDirection w:val="lrTb"/>
            <w:vAlign w:val="bottom"/>
          </w:tcPr>
          <w:p>
            <w:pPr>
              <w:pStyle w:val="1008"/>
              <w:suppressLineNumbers w:val="0"/>
              <w:ind w:right="0" w:firstLine="0"/>
              <w:jc w:val="right"/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Н.А. 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Бударина</w:t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color w:val="000000" w:themeColor="text1"/>
                <w:spacing w:val="4"/>
                <w:sz w:val="28"/>
                <w:szCs w:val="20"/>
                <w14:ligatures w14:val="none"/>
              </w:rPr>
            </w:r>
          </w:p>
        </w:tc>
      </w:tr>
    </w:tbl>
    <w:p>
      <w:pPr>
        <w:spacing w:after="0" w:line="240" w:lineRule="auto"/>
        <w:ind w:left="0" w:firstLine="0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ind w:left="4253"/>
        <w:jc w:val="left"/>
        <w:rPr>
          <w:rFonts w:ascii="PT Astra Serif" w:hAnsi="PT Astra Serif" w:cs="PT Astra Serif"/>
          <w:sz w:val="24"/>
          <w:szCs w:val="24"/>
        </w:rPr>
        <w:sectPr>
          <w:headerReference w:type="default" r:id="rId9"/>
          <w:footerReference w:type="default" r:id="rId12"/>
          <w:footerReference w:type="first" r:id="rId13"/>
          <w:footnotePr/>
          <w:endnotePr/>
          <w:type w:val="continuous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0" w:leader="none"/>
        </w:tabs>
        <w:spacing w:after="0" w:line="240" w:lineRule="auto"/>
        <w:ind w:left="4535" w:right="0" w:firstLine="0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white"/>
        </w:rPr>
        <w:t xml:space="preserve">УТВЕРЖДЕНЫ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bCs w:val="0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r>
    </w:p>
    <w:p>
      <w:pPr>
        <w:spacing w:after="0" w:line="240" w:lineRule="auto"/>
        <w:ind w:left="4535" w:right="0"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</w:rPr>
        <w:t xml:space="preserve">постановлени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</w:rPr>
        <w:t xml:space="preserve">ем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</w:rPr>
        <w:t xml:space="preserve">Центральной избирательной комиссии 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</w:rPr>
        <w:t xml:space="preserve">Российской Федерации</w:t>
      </w:r>
      <w:r>
        <w:rPr>
          <w:rFonts w:ascii="PT Astra Serif" w:hAnsi="PT Astra Serif" w:cs="PT Astra Serif"/>
          <w:i w:val="0"/>
          <w:iCs w:val="0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ind w:left="4253"/>
        <w:jc w:val="center"/>
        <w:rPr>
          <w:rFonts w:ascii="PT Astra Serif" w:hAnsi="PT Astra Serif" w:cs="PT Astra Serif"/>
          <w:bCs/>
          <w:i w:val="0"/>
          <w:i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i w:val="0"/>
          <w:iCs w:val="0"/>
          <w:sz w:val="24"/>
          <w:szCs w:val="24"/>
          <w:highlight w:val="none"/>
        </w:rPr>
        <w:t xml:space="preserve">от 20 мая 2026 г. № 6/68-9</w:t>
      </w:r>
      <w:r>
        <w:rPr>
          <w:rFonts w:ascii="PT Astra Serif" w:hAnsi="PT Astra Serif" w:cs="PT Astra Serif"/>
          <w:bCs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bCs/>
          <w:i w:val="0"/>
          <w:iCs w:val="0"/>
          <w:sz w:val="24"/>
          <w:szCs w:val="24"/>
          <w:highlight w:val="none"/>
        </w:rPr>
      </w:r>
    </w:p>
    <w:p>
      <w:pPr>
        <w:spacing w:after="0" w:line="240" w:lineRule="auto"/>
        <w:ind w:left="4253"/>
        <w:jc w:val="center"/>
        <w:rPr>
          <w:rFonts w:ascii="PT Astra Serif" w:hAnsi="PT Astra Serif" w:cs="PT Astra Serif"/>
          <w:bCs/>
          <w:i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i/>
          <w:sz w:val="24"/>
          <w:szCs w:val="24"/>
          <w:highlight w:val="none"/>
        </w:rPr>
      </w:r>
      <w:r>
        <w:rPr>
          <w:rFonts w:ascii="PT Astra Serif" w:hAnsi="PT Astra Serif" w:cs="PT Astra Serif"/>
          <w:bCs/>
          <w:i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i/>
          <w:sz w:val="24"/>
          <w:szCs w:val="24"/>
          <w:highlight w:val="white"/>
        </w:rPr>
      </w:r>
    </w:p>
    <w:p>
      <w:pPr>
        <w:spacing w:after="0" w:line="240" w:lineRule="auto"/>
        <w:ind w:left="425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ind w:left="425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ind w:left="425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line="240" w:lineRule="auto"/>
        <w:ind w:left="0" w:right="0" w:firstLine="0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оряд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spacing w:after="0" w:line="240" w:lineRule="auto"/>
        <w:ind w:left="0" w:right="0" w:firstLine="0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представления и формы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списка назначенных наблюдателей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spacing w:after="0" w:line="240" w:lineRule="auto"/>
        <w:ind w:left="0" w:right="0" w:firstLine="0"/>
        <w:jc w:val="center"/>
        <w:rPr>
          <w:rFonts w:ascii="PT Astra Serif" w:hAnsi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при проведении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выборов, референдумов </w:t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</w:p>
    <w:p>
      <w:pPr>
        <w:spacing w:after="0" w:line="240" w:lineRule="auto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spacing w:after="0" w:line="240" w:lineRule="auto"/>
        <w:ind w:left="0" w:right="0" w:firstLine="0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1. Общие положения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spacing w:after="0" w:line="240" w:lineRule="auto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pStyle w:val="1007"/>
        <w:spacing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bookmarkStart w:id="0" w:name="dst100316"/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bookmarkEnd w:id="0"/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1.1. 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Настоящие Порядок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представления и формы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списка назначенных наблюдателей при проведении выборов, референдумов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(далее – Порядок) ра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зрабо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таны на основании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статей 21 и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30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Федерального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закона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от 12 июня 2002 года № 67-ФЗ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Об основных гарантиях избирательных прав </w:t>
        <w:br/>
        <w:t xml:space="preserve">и права на участие в референдуме граждан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  <w:br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(далее – Федеральный закон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№ 67-ФЗ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).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Style w:val="1007"/>
        <w:spacing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1.2. Порядком устанавливается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порядок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оформления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списка назначенных наб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людателей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при проведении выборов, референдумов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(далее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–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Список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назначенных наб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людателей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)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, а также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формы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писка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назначенных наб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людателей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и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сроки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его 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  <w:t xml:space="preserve">представления в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со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ответствующую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комисси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ю</w:t>
      </w:r>
      <w:r>
        <w:rPr>
          <w:rFonts w:ascii="PT Astra Serif" w:hAnsi="PT Astra Serif" w:eastAsia="PT Astra Serif" w:cs="PT Astra Serif"/>
          <w:color w:val="000000"/>
          <w:sz w:val="28"/>
          <w:szCs w:val="28"/>
          <w:lang w:eastAsia="ru-RU"/>
        </w:rPr>
        <w:t xml:space="preserve">.</w:t>
      </w:r>
      <w:r>
        <w:rPr>
          <w:rFonts w:ascii="PT Astra Serif" w:hAnsi="PT Astra Serif" w:cs="PT Astra Serif"/>
          <w:color w:val="000000"/>
          <w:sz w:val="28"/>
          <w:szCs w:val="28"/>
          <w14:ligatures w14:val="none"/>
        </w:rPr>
      </w:r>
      <w:r>
        <w:rPr>
          <w:rFonts w:ascii="PT Astra Serif" w:hAnsi="PT Astra Serif" w:cs="PT Astra Serif"/>
          <w:color w:val="000000"/>
          <w:sz w:val="28"/>
          <w:szCs w:val="28"/>
          <w14:ligatures w14:val="none"/>
        </w:rPr>
      </w:r>
    </w:p>
    <w:p>
      <w:pPr>
        <w:pStyle w:val="1007"/>
        <w:spacing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1.3. 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На основании пунктов 4 и 9 статьи 30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Фе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дерального</w:t>
        <w:br/>
        <w:t xml:space="preserve">закона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№ 67-ФЗ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наблюдатели вправе осуществлять наблюдение при проведе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нии голосования в помещении для голосования,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вне помещения для голосования, в дни досрочного голосования, а также при проведении голосования с использованием дополнительных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возможностей реализации 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збирательных прав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права на участие в референдуме граждан Российской Федерации в случае принятия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решения о голосовании в течение нескольких дней подряд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000000"/>
          <w:sz w:val="28"/>
          <w:szCs w:val="28"/>
          <w14:ligatures w14:val="none"/>
        </w:rPr>
      </w:r>
      <w:r>
        <w:rPr>
          <w:rFonts w:ascii="PT Astra Serif" w:hAnsi="PT Astra Serif" w:cs="PT Astra Serif"/>
          <w:color w:val="000000"/>
          <w:sz w:val="28"/>
          <w:szCs w:val="28"/>
          <w14:ligatures w14:val="none"/>
        </w:rPr>
      </w:r>
    </w:p>
    <w:p>
      <w:pPr>
        <w:pStyle w:val="100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1.4. 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 проведен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ии выборов наблюдателя может назначить зарегистрированный кандидат (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случаях, предусмотренных федеральным законом,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также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доверенное лицо зарегистрированного кандидата)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, избирательное объединение, выдвинувшее зарегистрированного кандидата (зарегистрированных кандидатов), избирательное объединение, зарегистрировавшее список кандидатов. Законом мо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жет быть предусмотрена возможность назначения наблюдателей иными общественными объединениями.</w:t>
      </w:r>
      <w:r>
        <w:rPr>
          <w:rFonts w:ascii="PT Astra Serif" w:hAnsi="PT Astra Serif" w:cs="PT Astra Serif"/>
          <w:color w:val="000000"/>
          <w:sz w:val="28"/>
          <w:szCs w:val="28"/>
          <w14:ligatures w14:val="none"/>
        </w:rPr>
      </w:r>
      <w:r>
        <w:rPr>
          <w:rFonts w:ascii="PT Astra Serif" w:hAnsi="PT Astra Serif" w:cs="PT Astra Serif"/>
          <w:color w:val="000000"/>
          <w:sz w:val="28"/>
          <w:szCs w:val="28"/>
          <w14:ligatures w14:val="none"/>
        </w:rPr>
      </w:r>
    </w:p>
    <w:p>
      <w:pPr>
        <w:pStyle w:val="100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1.5. При проведении выборов в органы государственной власти, органы местного самоуправления наблюдателя могут назначить субъекты общественного контроля –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Общественная палата Российской Федерации,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общественные палаты субъектов Российской Федерации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(далее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–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субъекты общественного контроля)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. 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Общественные палаты субъектов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назнача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ю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т наблюдателей в избирательные комиссии, расположенные на территории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соответствующего субъекта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Российской Федерации.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1.6. При проведении рефер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ендума наблюдателя может назначить инициативная группа по проведению референдума, политическая партия, иное общественное объединение, которое должно быть создано </w:t>
        <w:br/>
        <w:t xml:space="preserve">и зарегистрировано на уровне,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соответствующем уровню референдума, </w:t>
        <w:br/>
        <w:t xml:space="preserve">или на более высоком уровне. 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1.7. Субъекты, указанные в пунктах 1.4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–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1.6 Порядка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(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далее – субъект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назначения наблюдателей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вправе назначить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в каждую участковую комиссию, территориальную комиссию и окружную комиссию </w:t>
        <w:br/>
        <w:t xml:space="preserve">(за исключением случая возложения полномочий окружной избирательной комиссии на избирательную комиссию субъекта Российской Феде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рации) не более трех наблюдателей (в случае принятия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решения </w:t>
        <w:br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 голосовании в течение нескольких дней подряд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–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из расчета не более трех наблюдателей на каждый день голосования), которые имеют право поочередно осуществлять наблюдение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помещении для голосования, помещении, в кот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ором осуществляется прием протоколов об итогах голосования, суммирование данных этих протоколов и составление протокола об итогах голосов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ания на соответствующей территории, если иное не предусмотрено федеральным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законом.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1.8. Одно и то же лицо может быть назначено наблюдател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ем только </w:t>
        <w:br/>
        <w:t xml:space="preserve">в одну комиссию.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1.9. 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 проведении выборов в федеральные органы государственной власти наблюдателем может быть гражданин Российской Федерации, обладающий активным избирательным правом на указанных выбо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рах. 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 проведении выборов в органы государственной власти субъекта Российской Федерации, референдума субъекта Российской Федерации, выборов в органы местного самоуправления, местного референдума на территории соответствующего субъекта Российской Федераци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и наблюдателем может быть гражданин Российской Федерации, обладающий активным избирательным правом на выборах в органы государственной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власти, правом на участие в референдуме соответствующего субъекта Российской Федерации.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1.10. 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none"/>
          <w:lang w:eastAsia="ru-RU"/>
          <w14:ligatures w14:val="none"/>
        </w:rPr>
        <w:t xml:space="preserve">Субъект назначения наблюдателей обязан предварительно получить письменное согласие гражданина на назначение его наблюдателем, </w:t>
        <w:br/>
        <w:t xml:space="preserve">в котором указываются фамилия, имя и отчество, дата рождения, серия, номер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none"/>
          <w:lang w:eastAsia="ru-RU"/>
          <w14:ligatures w14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none"/>
          <w:lang w:eastAsia="ru-RU"/>
          <w14:ligatures w14:val="none"/>
        </w:rPr>
        <w:t xml:space="preserve">и дата выдачи паспорт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none"/>
          <w:lang w:eastAsia="ru-RU"/>
          <w14:ligatures w14:val="none"/>
        </w:rPr>
        <w:t xml:space="preserve">а или документа, заменяющего паспорт гражданина Российской Федерации, адрес его места жительства, номер избирательного участка, участка референдума, наименование комиссии, куда наблюдатель направляется, а также ставится отметка об отсутствии ограничений,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указанных в пункте 4 статьи 30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Федерального закона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№ 67-ФЗ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. 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color w:val="000000"/>
          <w:spacing w:val="-2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Указанное письменное согласие хранится у с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none"/>
          <w:lang w:eastAsia="ru-RU"/>
          <w14:ligatures w14:val="none"/>
        </w:rPr>
        <w:t xml:space="preserve">убъекта назначения наблюдателей.</w:t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none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:lang w:eastAsia="ru-RU"/>
          <w14:ligatures w14:val="none"/>
        </w:rPr>
        <w:t xml:space="preserve">1.11. 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Наблюдателями не могут быть назначены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должностных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лиц, судьи, прокуроры, члены комиссий с правом решающего голоса, за исключением членов комиссий, полномочия которых были приостановлены в соответствии с </w:t>
      </w:r>
      <w:hyperlink r:id="rId19" w:tooltip="https://login.consultant.ru/link/?req=doc&amp;base=LAW&amp;n=523288&amp;dst=102827&amp;field=134&amp;date=23.04.2026" w:history="1">
        <w:r>
          <w:rPr>
            <w:rFonts w:ascii="PT Astra Serif" w:hAnsi="PT Astra Serif" w:eastAsia="PT Astra Serif" w:cs="PT Astra Serif"/>
            <w:sz w:val="28"/>
            <w:szCs w:val="28"/>
            <w:lang w:eastAsia="ru-RU"/>
          </w:rPr>
          <w:t xml:space="preserve">пунктом 7 статьи 29</w:t>
        </w:r>
      </w:hyperlink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Федерального закона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№ 67-ФЗ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, лица, включенные в </w:t>
      </w:r>
      <w:hyperlink r:id="rId20" w:tooltip="https://login.consultant.ru/link/?req=doc&amp;base=LAW&amp;n=503698&amp;dst=100051&amp;field=134&amp;date=23.04.2026" w:history="1">
        <w:r>
          <w:rPr>
            <w:rFonts w:ascii="PT Astra Serif" w:hAnsi="PT Astra Serif" w:eastAsia="PT Astra Serif" w:cs="PT Astra Serif"/>
            <w:sz w:val="28"/>
            <w:szCs w:val="28"/>
            <w:lang w:eastAsia="ru-RU"/>
          </w:rPr>
          <w:t xml:space="preserve">реестр</w:t>
        </w:r>
      </w:hyperlink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иностранных агентов, лица, сведения о которых включены в единый реестр сведений о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лицах, причастных к деятельности экстремистской или террористической организации.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left="0" w:right="0" w:firstLine="0"/>
        <w:jc w:val="center"/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2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. П</w:t>
      </w: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редставление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в комиссию С</w:t>
      </w: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писка назначенных наблюдателей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  </w:t>
      </w:r>
      <w:r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 w:line="288" w:lineRule="atLeast"/>
        <w:ind w:left="0" w:right="0"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2.1. Субъекты назначения, назначившие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наблюдателей в участковые комиссии и территориальные комиссии, не позднее чем за три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дня до дня (первого дня) голосования (досрочного голосования) представляют Список назначенных наблюдателей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соответст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вующую территориальную комиссию, назначившие наблюдателей в окружные комиссии –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окружную комиссию, а при проведении выборов в органы местного самоуправления, местного референдума – в комиссию, организующую подготовку и пр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оведение выборов в органы местного самоуправления, ме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стного референдума. 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2.2. 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последний день приема Списка назначенных наблюдателей он может быть представлен в соответствующую комиссию не позднее времени окончания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работы комиссии.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2.3. 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В исключительных случаях при образовании избирательных участков, участко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в референдума в местах временного пребывания избирателей не позднее чем за три дня до дня (первого дня) голосования Список назначенных наблюдателей может быть представлен в течение трех дней до дня (первого дня) голосования в территориальную комиссию или 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комиссию, организующую подготовку и пр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оведение выборов в органы местного самоуправления, 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стного референдума,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либо в день (первый день) голосования – в соответствующую участковую комиссию.</w:t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2.4. 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случае назначения наблюдателей в участковую комиссию субъект назначения наблюдателей может представить как общий Список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назначенных наблюдателей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по всем избирательным участкам, участкам референдума, так и несколько списков назначенных наблюдателей по ряду избирательных участков, участков референдума в разное время с учетом предельных сроков осущест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вления данных действий.</w:t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:lang w:eastAsia="ru-RU"/>
        </w:rPr>
        <w:t xml:space="preserve">2.5.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Списке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назначенных наблюдателей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указываются фамилия, имя </w:t>
        <w:br/>
        <w:t xml:space="preserve">и отчеств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 каждого наблюдателя, дата рождения, серия, номер и дата выдачи паспорта или документа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, заменяющего паспорт гражданина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none"/>
          <w:lang w:eastAsia="ru-RU"/>
          <w14:ligatures w14:val="none"/>
        </w:rPr>
        <w:t xml:space="preserve">Российской Федерации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, адрес его места жительства, но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мер избирательного участка, участка референдума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(в случае назначения наблюдателя в участковую комиссию),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наименование комиссии, куда наблюдатель направляется,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а также дата осуществления наблюдения. Т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акже рекомендуется указывать контактный телефон наблюдателя.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2.6. В Списке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назначенных наблюдателей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делается запись,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подтверждающая, что наблюдатели, указанные в нем, не подпадают под ограничения, указанные в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пункте 4 статьи 30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Федерального закона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№ 67-ФЗ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, а также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дали письменное согласие на назначение их наблюдателями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  <w:lang w:eastAsia="ru-RU"/>
          <w14:ligatures w14:val="none"/>
        </w:rPr>
        <w:t xml:space="preserve">2.7. 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Список назначенных наблюдателей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представляется </w:t>
        <w:br/>
        <w:t xml:space="preserve">в соответствующую комиссию одновременно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 бумажном носителе </w:t>
        <w:br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по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формам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согласно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приложениям № 1, 2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и в машиночитаемом виде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  <w:br/>
        <w:t xml:space="preserve">по формам согласно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приложениям № 3, 4 к Порядку.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 этом сведения </w:t>
        <w:br/>
        <w:t xml:space="preserve">о наблюдателях, указанные в Списке назначенных наблюдателей, представленном на бумажном носителе и в машиночитаемом виде, должны с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овпадать.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2.8. 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Список назначенных наблюдателей должен быть подписан субъектом назначения наблюдателей и заверен печатью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(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если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субъект назначения наблюдателей является юридическим лицом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Заверение печатью Списка назначенных наблюдателей от кандидата, инициативной группы по пр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оведению референдума не требуется.</w:t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2.9. Список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назначенных наблюдателей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в машиночитаемом виде представляется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в виде файла в формате xlsx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. При заполнении таблицы </w:t>
        <w:br/>
        <w:t xml:space="preserve">не следует объединять или разделять ее графы.</w:t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</w:p>
    <w:p>
      <w:pPr>
        <w:suppressLineNumbers w:val="0"/>
        <w:shd w:val="clear" w:color="auto" w:fill="auto"/>
        <w:ind w:firstLine="720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2.10. Для автоматизации процесса подготовки Списка назначенных наблюдателей (в том числе в машиночитаемом виде) и обеспечения корректного его формирования может использоваться специализированное программное изделие «Подготовка и формирование списков назна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ченных наблюдателей при проведении выборов, референдумов».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С этой целью при проведении выборов, референдумов всех уровней избирательные комиссии субъектов Российской Федерации не поздн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ее чем за 14 дней до дня (первого дня) голосования (досрочного голосования) формируют с использованием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Государственной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 автоматизированной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системы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 Российской Федерации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</w:rPr>
        <w:t xml:space="preserve"> «Выборы» и размещают на своих сайтах дистрибутив специализированного программного изделия для конкретной даты голосования.</w:t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2.11. П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ри оформлении С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писк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а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назначенных наблюдателей </w:t>
        <w:br/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с использованием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специализированного программного издели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я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обеспечивается ввод и корректировка общей информации путем выбора из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интерфейса данных,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включенных в дистрибутив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специализированного программного издели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я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С использованием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специализированного программного издели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я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также обеспечена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возможность (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посредством р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учного ввода)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добавления, редактирования и удаления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в Списке назначенных наблюдателей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нформации, указанной в пункте 2.5 Порядка.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</w:rPr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none"/>
          <w:lang w:eastAsia="ru-RU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none"/>
        </w:rPr>
      </w:r>
    </w:p>
    <w:p>
      <w:pPr>
        <w:spacing w:after="0" w:line="240" w:lineRule="auto"/>
        <w:ind w:left="0" w:right="0" w:firstLine="0"/>
        <w:contextualSpacing/>
        <w:jc w:val="center"/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3. Работа комиссии со </w:t>
      </w: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Списком</w:t>
      </w: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8"/>
          <w:szCs w:val="28"/>
          <w:lang w:eastAsia="ru-RU"/>
        </w:rPr>
        <w:t xml:space="preserve">назначенных наблюдателей</w:t>
      </w:r>
      <w:r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  <w14:ligatures w14:val="none"/>
        </w:rPr>
      </w:r>
    </w:p>
    <w:p>
      <w:pPr>
        <w:spacing w:after="0" w:line="240" w:lineRule="auto"/>
        <w:contextualSpacing/>
        <w:jc w:val="center"/>
        <w:rPr>
          <w:rFonts w:ascii="PT Astra Serif" w:hAnsi="PT Astra Serif" w:cs="PT Astra Serif"/>
          <w:b/>
          <w:bCs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  <w:lang w:eastAsia="ru-RU"/>
        </w:rPr>
      </w:r>
      <w:r>
        <w:rPr>
          <w:rFonts w:ascii="PT Astra Serif" w:hAnsi="PT Astra Serif" w:cs="PT Astra Serif"/>
          <w:b/>
          <w:bCs/>
          <w:sz w:val="28"/>
          <w:szCs w:val="28"/>
          <w14:ligatures w14:val="none"/>
        </w:rPr>
      </w:r>
      <w:r>
        <w:rPr>
          <w:rFonts w:ascii="PT Astra Serif" w:hAnsi="PT Astra Serif" w:cs="PT Astra Serif"/>
          <w:b/>
          <w:bCs/>
          <w:sz w:val="28"/>
          <w:szCs w:val="28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lang w:eastAsia="ru-RU"/>
        </w:rPr>
        <w:t xml:space="preserve">3.1</w:t>
      </w:r>
      <w:r>
        <w:rPr>
          <w:rFonts w:ascii="PT Astra Serif" w:hAnsi="PT Astra Serif" w:eastAsia="PT Astra Serif" w:cs="PT Astra Serif"/>
          <w:color w:val="000000"/>
          <w:sz w:val="28"/>
          <w:szCs w:val="28"/>
          <w:lang w:eastAsia="ru-RU"/>
        </w:rPr>
        <w:t xml:space="preserve">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соответствующей комиссии представленный Список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назначенных наблюдателей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регистрируется как входящий документ </w:t>
        <w:br/>
        <w:t xml:space="preserve">с проставлением даты и времени его приема.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  <w:lang w:eastAsia="ru-RU"/>
        </w:rPr>
        <w:t xml:space="preserve">В исключительных случаях, предусмотренных пунктом 2.3</w:t>
      </w:r>
      <w:r>
        <w:rPr>
          <w:rFonts w:ascii="PT Astra Serif" w:hAnsi="PT Astra Serif" w:eastAsia="PT Astra Serif" w:cs="PT Astra Serif"/>
          <w:color w:val="000000"/>
          <w:sz w:val="28"/>
          <w:szCs w:val="28"/>
          <w:lang w:eastAsia="ru-RU"/>
        </w:rPr>
        <w:t xml:space="preserve"> Порядка, Список назначенных наблюдателей, представленный в день (первый день)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голосования в участковую комиссию, регистрируется в журнале регистрации входящих документов участковой комиссии.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3.2. 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 приеме Списка назначенных наблюдателей член с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оответствующей комиссии проверяет наличие в нем всех необходимых сведений о наблюдателях, предусмотренных федеральным законодательством, а также проверяет соответствие представленного Списка назначенных наблюдателей формам, прилагаемым к Порядку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, и проводит сверку сведений о наблюдателях в Списке назначенных наблюдателей, представленном на бумажном носителе и в машиночитаемом виде. 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3.3. В случае отсутствия сведений о наблюдателях, предусмотренных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федеральным законодательством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, а также в случае о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бнаружения иных недостатков в Списке назначенных наблюдателей представивший его субъект назначения наблюдателей уточняет необходимые сведения о наблюдателях и вносит их в Список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назначенных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блюдателей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 учетом предельных сроков его представления.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color w:val="000000"/>
          <w:spacing w:val="-2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3.4. 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случае выявления факта назначения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одного и того же лица наблюдателем в разные участковые комиссии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одним и тем же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субъектом назна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чения наблюдателей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соответствующая комиссия обязана предложить данному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субъекту назначения наблюдателей внести необходимые уточнения </w:t>
        <w:br/>
        <w:t xml:space="preserve">о наблюдателе, а после их внесения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не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замедлительно проинформировать </w:t>
        <w:br/>
        <w:t xml:space="preserve">об этом соответствующие участковые комиссии, направив необходимые для этого сведения.</w:t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Если данный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субъект назна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чения наблюдателей не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внесет необходимые уточнен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лице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з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ч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им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ю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т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ем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в разные участковые комиссии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согласно требованиям пункта 4 статьи 30 Федерального закона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№ 67-ФЗ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указанное лицо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не вправе осуществлять наблюдение на соответствующих выборах,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референдумах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color w:val="000000"/>
          <w:spacing w:val="-2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3.5.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 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В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 случае выявления факта назначения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одного и того же лица наблюдателем в разные участковые комиссии разными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субъектами назначения наблюдателей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соответствующая комиссия обязана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 провести проверку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наличия письменного согласия данного наблюдателя, запросив его копию </w:t>
        <w:br/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у данных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субъектов назначения наблюдателей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, и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не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замедлительно проинформировать о результатах проведенной проверки соответствующие участковые комиссии,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направив необходимые для этого сведения.</w:t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non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color w:val="000000"/>
          <w:spacing w:val="-2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Если в результате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проведенной проверки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более чем один субъект назначения наблюдателей подтвердит наличие письменного согласия одного </w:t>
        <w:br/>
        <w:t xml:space="preserve">и того же лица быть наблюдателем в разных участковых комиссиях, указанное лицо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не вправе осуществлять наблюдение на соответствующих выборах, 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референдумах</w:t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white"/>
          <w:lang w:eastAsia="ru-RU"/>
          <w14:ligatures w14:val="none"/>
        </w:rPr>
        <w:t xml:space="preserve">.</w:t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color w:val="000000"/>
          <w:spacing w:val="-2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color w:val="000000"/>
          <w:spacing w:val="-2"/>
          <w:sz w:val="28"/>
          <w:szCs w:val="28"/>
          <w:highlight w:val="none"/>
          <w:lang w:eastAsia="ru-RU"/>
          <w14:ligatures w14:val="none"/>
        </w:rPr>
        <w:t xml:space="preserve">3.6. 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случае если после представления Списка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назначенных наблюдателей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соответствующую комиссию наступили обстоятельства, </w:t>
        <w:br/>
        <w:t xml:space="preserve">в результате которых наблюдатель по уважительной причине (болезнь, командировка и др.) не сможет осуществлять наблюдение в день (дни) голосования (досрочного голосования), субъект назначения наблюдателя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вправе до дня (первого дня) голосования (досрочного голосования) назначить 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место этого наблюдателя другого, письменно уведомив об этом соответствующую комиссию и представив сведения о назначенном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наблюдателе на бумажном носителе 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в машиночитаемом виде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по формам, прилагаемым к Порядку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3.7. В случае если после представления Списка назначенных наблюдателей в соответствующую комиссию поступила информация о наличии у наблюдателя ограничений для осуществления наблюдения, предусмотренных 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пункте 4 статьи 30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Федерального закона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№ 67-ФЗ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, субъект назначения наблюдателя вправе назначить вместо этого наблюдателя другого, письменно уведомив об этом соответствующую комиссию и представив сведения о назначенном наблюдателе на бумажном носителе и в машиночитаемом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виде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по формам, прилагаемым к Порядку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не позднее чем за три дня до дня (первого дня) голосования (досрочного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голосования).</w:t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3.8. 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При поступлении 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территориальную комиссию или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комиссию, организующую подготовку и пр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оведение выборов в органы местного самоуправления, 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стного референдума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 списков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назначенных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в участковые комиссии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наблю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дателей секретарь или член соответствующей комиссии, </w:t>
        <w:br/>
        <w:t xml:space="preserve">в обязанности которого входит работа с наблюдателями, обеспечивает доведение информации из представленных в комиссию Списков назначенных наблюдателей до соответствующих участковых комиссий не позднее ч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ем за один день до дня (первого дня) голосования (досрочного голосования). </w:t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Направление указанной информации рекомендуется осуществлять по формам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согласно приложениям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№ 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5, 6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к Порядку или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иным способом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3.9. 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При проведении выборов в федеральные органы государственной власти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в участковые комиссии, сформированные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на избирательны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х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участк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ах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, участках референдума, образованны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х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за пределами территории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Российской Федерации,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Список назначенных наблюдателей по формам согласно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приложениям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№ 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5, 6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к Порядку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направляе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тся соответствующей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территориальной избирательной комиссией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при содействии Министерства иностранных дел Российской Федерации и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Центральной избирательной комиссии Российской Федерации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3.10. 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 случае поступления в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территориальную комиссию или 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комиссию, организующую подготовку и пр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оведение выборов в органы местного самоуправления, ме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стного референдума,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уведомления, предусмотренного пунктом 3.6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Порядка, соответствующая комиссия не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замедлительно информирует об этом участковую комиссию, направив соответствующие сведения.</w:t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whit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3.11. При представлении наблюдателем направления </w:t>
        <w:br/>
        <w:t xml:space="preserve">в соответствующую комиссию секретарем комиссии или иным членом комиссии, в обязанности которого входит работа с наблюдателями, в списке лиц, присутствовавших в помещении для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г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олосования, помещении, </w:t>
        <w:br/>
        <w:t xml:space="preserve">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ытия и убытия наблюдателя.</w:t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179"/>
        <w:gridCol w:w="5607"/>
      </w:tblGrid>
      <w:tr>
        <w:trPr/>
        <w:tblPrEx/>
        <w:tc>
          <w:tcPr>
            <w:tcW w:w="9179" w:type="dxa"/>
            <w:noWrap w:val="false"/>
            <w:textDirection w:val="lrTb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</w:p>
        </w:tc>
        <w:tc>
          <w:tcPr>
            <w:tcW w:w="5607" w:type="dxa"/>
            <w:noWrap w:val="false"/>
            <w:textDirection w:val="lrTb"/>
          </w:tcPr>
          <w:p>
            <w:pPr>
              <w:keepNext/>
              <w:keepLines/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Приложение № 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keepNext/>
              <w:keepLines/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оряд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ку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представления и формам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списка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назначенных наблюдателей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 проведении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выборов, референдумов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(обязательная форма на бумажном носителе)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afterAutospacing="0" w:line="238" w:lineRule="auto"/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192" w:lineRule="auto"/>
        <w:contextualSpacing/>
        <w:jc w:val="center"/>
        <w:rPr>
          <w:rFonts w:ascii="PT Astra Serif" w:hAnsi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субъекта Российской Федерации)</w:t>
      </w:r>
      <w:r>
        <w:rPr>
          <w:rFonts w:ascii="PT Astra Serif" w:hAnsi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</w:p>
    <w:p>
      <w:pPr>
        <w:spacing w:line="271" w:lineRule="auto"/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360" w:lineRule="auto"/>
        <w:contextualSpacing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избирательной комиссии, в которую представляется список наблюдателей)</w:t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p>
      <w:pPr>
        <w:spacing w:line="272" w:lineRule="atLeast"/>
        <w:contextualSpacing/>
        <w:jc w:val="center"/>
        <w:rPr>
          <w:rFonts w:ascii="PT Astra Serif" w:hAnsi="PT Astra Serif" w:cs="PT Astra Serif"/>
          <w:b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СПИСОК НАБЛЮДАТЕЛЕЙ,</w:t>
      </w:r>
      <w:r>
        <w:rPr>
          <w:rFonts w:ascii="PT Astra Serif" w:hAnsi="PT Astra Serif" w:cs="PT Astra Serif"/>
          <w:b/>
          <w:sz w:val="24"/>
        </w:rPr>
      </w:r>
      <w:r>
        <w:rPr>
          <w:rFonts w:ascii="PT Astra Serif" w:hAnsi="PT Astra Serif" w:cs="PT Astra Serif"/>
          <w:b/>
          <w:sz w:val="24"/>
        </w:rPr>
      </w:r>
    </w:p>
    <w:p>
      <w:pPr>
        <w:spacing w:line="272" w:lineRule="atLeast"/>
        <w:contextualSpacing/>
        <w:jc w:val="center"/>
        <w:rPr>
          <w:rFonts w:ascii="PT Astra Serif" w:hAnsi="PT Astra Serif" w:cs="PT Astra Serif"/>
          <w:b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назначенных избирательным объединением/иным общественным объединением/субъектом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</w:rPr>
        <w:t xml:space="preserve">общественного контроля/зарегистриров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анным кандидатом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на выборах, назначенных на </w:t>
      </w:r>
      <w:r>
        <w:rPr>
          <w:rFonts w:ascii="PT Astra Serif" w:hAnsi="PT Astra Serif" w:cs="PT Astra Serif"/>
          <w:b/>
          <w:sz w:val="24"/>
        </w:rPr>
      </w:r>
      <w:r>
        <w:rPr>
          <w:rFonts w:ascii="PT Astra Serif" w:hAnsi="PT Astra Serif" w:cs="PT Astra Serif"/>
          <w:b/>
          <w:sz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______________________________________________________________________________________________________________________________</w:t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i/>
          <w:sz w:val="22"/>
          <w:szCs w:val="22"/>
        </w:rPr>
        <w:t xml:space="preserve">(дата голосования)</w:t>
      </w:r>
      <w:r>
        <w:rPr>
          <w:rFonts w:ascii="PT Astra Serif" w:hAnsi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0"/>
        </w:rPr>
        <w:t xml:space="preserve">____________________________________________</w:t>
      </w:r>
      <w:r>
        <w:rPr>
          <w:rFonts w:ascii="PT Astra Serif" w:hAnsi="PT Astra Serif" w:eastAsia="PT Astra Serif" w:cs="PT Astra Serif"/>
          <w:szCs w:val="20"/>
        </w:rPr>
        <w:t xml:space="preserve">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spacing w:line="238" w:lineRule="auto"/>
        <w:contextualSpacing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избирательного объединения/наименование иного общественного объединения/наименование субъекта общественного</w:t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p>
      <w:pPr>
        <w:spacing w:after="120" w:line="238" w:lineRule="auto"/>
        <w:contextualSpacing/>
        <w:jc w:val="center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 контроля/фамилия, имя, отчество зарегистрированного кандидата)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tbl>
      <w:tblPr>
        <w:tblW w:w="4936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69"/>
        <w:gridCol w:w="1982"/>
        <w:gridCol w:w="1417"/>
        <w:gridCol w:w="2982"/>
        <w:gridCol w:w="2409"/>
        <w:gridCol w:w="3259"/>
        <w:gridCol w:w="1980"/>
      </w:tblGrid>
      <w:tr>
        <w:trPr>
          <w:trHeight w:val="1207"/>
        </w:trPr>
        <w:tblPrEx/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br/>
              <w:t xml:space="preserve">п/п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1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Фамилия, имя, отчество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Дата рождения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Российской Федерации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14:ligatures w14:val="none"/>
              </w:rPr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Адрес места жительства, контактный телефон</w:t>
            </w:r>
            <w:r>
              <w:rPr>
                <w:rStyle w:val="1000"/>
                <w:rFonts w:ascii="PT Astra Serif" w:hAnsi="PT Astra Serif" w:eastAsia="PT Astra Serif" w:cs="PT Astra Serif"/>
                <w:b/>
                <w:sz w:val="24"/>
                <w:szCs w:val="24"/>
              </w:rPr>
              <w:footnoteReference w:customMarkFollows="1" w:id="2"/>
              <w:t xml:space="preserve">*</w:t>
            </w: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*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Номер избирательного участка/наименование избирательной комиссии, 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в которую направляется наблюдатель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Дата осуществления наблюдения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</w:tr>
      <w:tr>
        <w:trPr>
          <w:trHeight w:val="273"/>
        </w:trPr>
        <w:tblPrEx/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>
          <w:trHeight w:val="253" w:hRule="exact"/>
        </w:trPr>
        <w:tblPrEx/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</w:tr>
      <w:tr>
        <w:trPr>
          <w:trHeight w:val="253" w:hRule="exact"/>
        </w:trPr>
        <w:tblPrEx/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</w:tr>
      <w:tr>
        <w:trPr>
          <w:trHeight w:val="253" w:hRule="exact"/>
        </w:trPr>
        <w:tblPrEx/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</w:tr>
      <w:tr>
        <w:trPr>
          <w:trHeight w:val="262" w:hRule="exact"/>
        </w:trPr>
        <w:tblPrEx/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…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</w:tr>
    </w:tbl>
    <w:p>
      <w:pPr>
        <w:pStyle w:val="998"/>
        <w:spacing w:line="233" w:lineRule="auto"/>
        <w:ind w:left="0" w:right="0" w:firstLine="0"/>
        <w:contextualSpacing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Подтверждаю, что наблюдатели, указанные в списке: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998"/>
        <w:numPr>
          <w:numId w:val="20"/>
          <w:ilvl w:val="0"/>
        </w:numPr>
        <w:spacing w:line="233" w:lineRule="auto"/>
        <w:ind w:right="0"/>
        <w:contextualSpacing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не подпадают под ограничения, установленные пунктом 4 статьи 30 Федерального закона «Об основных гарантиях избирательных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прав и права на участие в референдуме граждан Российской Федерации»;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998"/>
        <w:numPr>
          <w:numId w:val="20"/>
          <w:ilvl w:val="0"/>
        </w:numPr>
        <w:spacing w:line="216" w:lineRule="auto"/>
        <w:ind w:right="0"/>
        <w:contextualSpacing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дали письменное согласие на назначение их наблюдателями.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contextualSpacing/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119380</wp:posOffset>
                </wp:positionV>
                <wp:extent cx="1761490" cy="485140"/>
                <wp:effectExtent l="219075" t="61594" r="0" b="0"/>
                <wp:wrapNone/>
                <wp:docPr id="2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1489" cy="485138"/>
                        </a:xfrm>
                        <a:custGeom>
                          <a:avLst/>
                          <a:gdLst>
                            <a:gd name="T0" fmla="*/ 0 w 1000"/>
                            <a:gd name="T1" fmla="*/ 0 h 1000"/>
                            <a:gd name="T2" fmla="*/ -127 w 1000"/>
                            <a:gd name="T3" fmla="*/ 0 h 1000"/>
                            <a:gd name="T4" fmla="*/ -127 w 1000"/>
                            <a:gd name="T5" fmla="*/ -127 h 1000"/>
                            <a:gd name="T6" fmla="*/ 0 w 1000"/>
                            <a:gd name="T7" fmla="*/ -127 h 1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00" h="1000" fill="norm" stroke="1" extrusionOk="0">
                              <a:moveTo>
                                <a:pt x="0" y="0"/>
                              </a:move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lnTo>
                                <a:pt x="0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251653120;o:allowoverlap:true;o:allowincell:true;mso-position-horizontal-relative:text;margin-left:5.55pt;mso-position-horizontal:absolute;mso-position-vertical-relative:text;margin-top:9.40pt;mso-position-vertical:absolute;width:138.70pt;height:38.20pt;mso-wrap-distance-left:9.00pt;mso-wrap-distance-top:0.00pt;mso-wrap-distance-right:9.00pt;mso-wrap-distance-bottom:0.00pt;visibility:visible;" path="m0,0l-12698,0l-12698,-12698l0,-12698xe" coordsize="100000,100000" fillcolor="#FFFFFF" stroked="f">
                <v:path textboxrect="0,0,100000,100000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2"/>
          <w:szCs w:val="22"/>
        </w:rPr>
        <w:t xml:space="preserve">__________________ / ______________________________________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spacing w:line="187" w:lineRule="auto"/>
        <w:ind w:left="8220"/>
        <w:contextualSpacing/>
        <w:jc w:val="both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(</w:t>
      </w: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подпись</w:t>
      </w: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, фамилия, инициалы уполномоченного лица избирательного объединения/уполномоченного лица иного общественного объединения/уполномоченного лица субъекта общественного контроля/доверенного лица зарегистрированного кандидата/зарегистрированного кандидата, дата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)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  <w:br w:type="page" w:clear="all"/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</w:p>
    <w:p>
      <w:pPr>
        <w:spacing w:before="240" w:after="0" w:line="240" w:lineRule="auto"/>
        <w:jc w:val="center"/>
        <w:rPr>
          <w:rFonts w:ascii="PT Astra Serif" w:hAnsi="PT Astra Serif" w:cs="PT Astra Serif"/>
          <w:color w:val="ffffff"/>
          <w:sz w:val="28"/>
          <w:szCs w:val="28"/>
          <w:u w:val="single"/>
        </w:rPr>
      </w:pPr>
      <w:r>
        <w:rPr>
          <w:rFonts w:ascii="PT Astra Serif" w:hAnsi="PT Astra Serif" w:eastAsia="PT Astra Serif" w:cs="PT Astra Serif"/>
          <w:color w:val="ffffff"/>
          <w:sz w:val="28"/>
          <w:szCs w:val="20"/>
          <w:highlight w:val="none"/>
          <w:u w:val="single"/>
          <w:lang w:eastAsia="ru-RU"/>
        </w:rPr>
      </w:r>
      <w:r>
        <w:rPr>
          <w:rFonts w:ascii="PT Astra Serif" w:hAnsi="PT Astra Serif" w:cs="PT Astra Serif"/>
          <w:color w:val="ffffff"/>
          <w:sz w:val="28"/>
          <w:szCs w:val="28"/>
          <w:u w:val="single"/>
        </w:rPr>
      </w:r>
      <w:r>
        <w:rPr>
          <w:rFonts w:ascii="PT Astra Serif" w:hAnsi="PT Astra Serif" w:cs="PT Astra Serif"/>
          <w:color w:val="ffffff"/>
          <w:sz w:val="28"/>
          <w:szCs w:val="28"/>
          <w:u w:val="single"/>
        </w:rPr>
      </w:r>
    </w:p>
    <w:p>
      <w:pPr>
        <w:spacing w:before="240" w:after="0" w:line="240" w:lineRule="auto"/>
        <w:jc w:val="center"/>
        <w:rPr>
          <w:rFonts w:ascii="Times New Roman" w:hAnsi="Times New Roman"/>
          <w:color w:val="ffffff"/>
          <w:sz w:val="28"/>
          <w:szCs w:val="28"/>
          <w:highlight w:val="none"/>
          <w:u w:val="single"/>
          <w:lang w:eastAsia="ru-RU"/>
        </w:rPr>
      </w:pPr>
      <w:r>
        <w:rPr>
          <w:rFonts w:ascii="Times New Roman" w:hAnsi="Times New Roman"/>
          <w:color w:val="ffffff"/>
          <w:sz w:val="28"/>
          <w:szCs w:val="20"/>
          <w:highlight w:val="none"/>
          <w:u w:val="single"/>
          <w:lang w:eastAsia="ru-RU"/>
        </w:rPr>
      </w:r>
      <w:r>
        <w:rPr>
          <w:rFonts w:ascii="Times New Roman" w:hAnsi="Times New Roman"/>
          <w:color w:val="ffffff"/>
          <w:sz w:val="28"/>
          <w:szCs w:val="28"/>
          <w:highlight w:val="none"/>
          <w:u w:val="single"/>
          <w:lang w:eastAsia="ru-RU"/>
        </w:rPr>
      </w:r>
      <w:r>
        <w:rPr>
          <w:rFonts w:ascii="Times New Roman" w:hAnsi="Times New Roman"/>
          <w:color w:val="ffffff"/>
          <w:sz w:val="28"/>
          <w:szCs w:val="28"/>
          <w:highlight w:val="none"/>
          <w:u w:val="single"/>
          <w:lang w:eastAsia="ru-RU"/>
        </w:rPr>
      </w:r>
    </w:p>
    <w:tbl>
      <w:tblPr>
        <w:tblStyle w:val="997"/>
        <w:tblW w:w="0" w:type="auto"/>
        <w:tblLayout w:type="fixed"/>
        <w:tblLook w:val="04A0" w:firstRow="1" w:lastRow="0" w:firstColumn="1" w:lastColumn="0" w:noHBand="0" w:noVBand="1"/>
      </w:tblPr>
      <w:tblGrid>
        <w:gridCol w:w="8045"/>
        <w:gridCol w:w="6743"/>
      </w:tblGrid>
      <w:tr>
        <w:trPr/>
        <w:tblPrEx/>
        <w:tc>
          <w:tcPr>
            <w:tcW w:w="804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keepNext/>
              <w:keepLines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6743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keepNext/>
              <w:keepLines/>
              <w:spacing w:after="0" w:line="240" w:lineRule="auto"/>
              <w:ind w:left="0" w:right="0"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Приложение №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ind w:left="0" w:right="0"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оряд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ку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представления и формам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списка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назначенных 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ind w:left="0" w:right="0"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наблюдателей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 проведении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выборов, референдумов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ind w:left="0" w:right="0"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(обязательная форма на бумажном носителе)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</w:tc>
      </w:tr>
    </w:tbl>
    <w:p>
      <w:pPr>
        <w:keepNext/>
        <w:keepLines w:val="0"/>
        <w:spacing w:after="0" w:line="240" w:lineRule="auto"/>
        <w:ind w:left="0" w:right="0" w:firstLine="8787"/>
        <w:jc w:val="center"/>
        <w:outlineLvl w:val="0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spacing w:line="283" w:lineRule="atLeast"/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226" w:lineRule="exact"/>
        <w:contextualSpacing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субъекта Российской Федерации)</w:t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p>
      <w:pPr>
        <w:spacing w:line="226" w:lineRule="exact"/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 ,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226" w:lineRule="exact"/>
        <w:contextualSpacing/>
        <w:jc w:val="center"/>
        <w:rPr>
          <w:rFonts w:ascii="PT Astra Serif" w:hAnsi="PT Astra Serif" w:cs="PT Astra Serif"/>
          <w:b/>
          <w:sz w:val="22"/>
          <w:szCs w:val="22"/>
          <w:u w:val="single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комиссии, в которую представляется список наблюдателей)</w:t>
      </w:r>
      <w:r>
        <w:rPr>
          <w:rFonts w:ascii="PT Astra Serif" w:hAnsi="PT Astra Serif" w:cs="PT Astra Serif"/>
          <w:b/>
          <w:sz w:val="22"/>
          <w:szCs w:val="22"/>
          <w:u w:val="single"/>
        </w:rPr>
      </w:r>
      <w:r>
        <w:rPr>
          <w:rFonts w:ascii="PT Astra Serif" w:hAnsi="PT Astra Serif" w:cs="PT Astra Serif"/>
          <w:b/>
          <w:sz w:val="22"/>
          <w:szCs w:val="22"/>
          <w:u w:val="single"/>
        </w:rPr>
      </w:r>
    </w:p>
    <w:p>
      <w:pPr>
        <w:spacing w:after="0" w:afterAutospacing="0" w:line="226" w:lineRule="exact"/>
        <w:contextualSpacing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spacing w:after="0" w:afterAutospacing="0" w:line="226" w:lineRule="exact"/>
        <w:contextualSpacing/>
        <w:jc w:val="center"/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СПИСОК НАБЛЮДАТЕЛЕЙ,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spacing w:line="226" w:lineRule="exact"/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b/>
          <w:bCs/>
          <w:sz w:val="24"/>
        </w:rPr>
        <w:t xml:space="preserve">назначенных</w:t>
      </w:r>
      <w:r>
        <w:rPr>
          <w:rFonts w:ascii="PT Astra Serif" w:hAnsi="PT Astra Serif" w:eastAsia="PT Astra Serif" w:cs="PT Astra Serif"/>
          <w:szCs w:val="20"/>
        </w:rPr>
        <w:t xml:space="preserve">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after="120" w:line="226" w:lineRule="exact"/>
        <w:contextualSpacing/>
        <w:jc w:val="center"/>
        <w:rPr>
          <w:rFonts w:ascii="PT Astra Serif" w:hAnsi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(кем назначены)</w:t>
      </w:r>
      <w:r>
        <w:rPr>
          <w:rFonts w:ascii="PT Astra Serif" w:hAnsi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</w:p>
    <w:p>
      <w:pPr>
        <w:spacing w:line="226" w:lineRule="exact"/>
        <w:contextualSpacing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на референдумах, назначенных на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spacing w:line="226" w:lineRule="exact"/>
        <w:contextualSpacing/>
        <w:jc w:val="center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______________________________________________________________________________________________________________________________</w:t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spacing w:after="120" w:line="226" w:lineRule="exact"/>
        <w:contextualSpacing/>
        <w:jc w:val="center"/>
        <w:rPr>
          <w:rFonts w:ascii="PT Astra Serif" w:hAnsi="PT Astra Serif" w:cs="PT Astra Serif"/>
          <w:highlight w:val="none"/>
          <w14:ligatures w14:val="none"/>
        </w:rPr>
      </w:pPr>
      <w:r>
        <w:rPr>
          <w:rFonts w:ascii="PT Astra Serif" w:hAnsi="PT Astra Serif" w:eastAsia="PT Astra Serif" w:cs="PT Astra Serif"/>
          <w:i/>
          <w:iCs/>
          <w:sz w:val="22"/>
          <w:szCs w:val="22"/>
        </w:rPr>
        <w:t xml:space="preserve">(дата голосования)</w:t>
      </w:r>
      <w:r>
        <w:rPr>
          <w:rFonts w:ascii="PT Astra Serif" w:hAnsi="PT Astra Serif" w:cs="PT Astra Serif"/>
          <w:highlight w:val="none"/>
          <w14:ligatures w14:val="none"/>
        </w:rPr>
      </w:r>
      <w:r>
        <w:rPr>
          <w:rFonts w:ascii="PT Astra Serif" w:hAnsi="PT Astra Serif" w:cs="PT Astra Serif"/>
          <w:highlight w:val="none"/>
          <w14:ligatures w14:val="none"/>
        </w:rPr>
      </w:r>
    </w:p>
    <w:tbl>
      <w:tblPr>
        <w:tblW w:w="145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1"/>
        <w:gridCol w:w="1953"/>
        <w:gridCol w:w="1401"/>
        <w:gridCol w:w="3083"/>
        <w:gridCol w:w="2208"/>
        <w:gridCol w:w="3260"/>
        <w:gridCol w:w="2092"/>
      </w:tblGrid>
      <w:tr>
        <w:trPr>
          <w:trHeight w:val="791"/>
        </w:trPr>
        <w:tblPrEx/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b/>
                <w:sz w:val="24"/>
              </w:rPr>
              <w:br/>
              <w:t xml:space="preserve">п/п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Фамилия, имя, отчество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Дата рождения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3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Серия, номер и дата выдачи паспорта или документа, заменяющего паспорт гражданина 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Российской Федерации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Адрес места жительства, контактный телефон</w:t>
            </w:r>
            <w:r>
              <w:rPr>
                <w:rStyle w:val="1000"/>
                <w:rFonts w:ascii="PT Astra Serif" w:hAnsi="PT Astra Serif" w:eastAsia="PT Astra Serif" w:cs="PT Astra Serif"/>
                <w:b/>
                <w:sz w:val="24"/>
              </w:rPr>
              <w:footnoteReference w:customMarkFollows="1" w:id="3"/>
              <w:t xml:space="preserve">*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Номер участка референдума/наименование комиссии референдума, 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в которую направляется наблюдатель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21" w:lineRule="auto"/>
              <w:ind w:firstLine="0"/>
              <w:contextualSpacing/>
              <w:jc w:val="center"/>
              <w:rPr>
                <w:rFonts w:ascii="PT Astra Serif" w:hAnsi="PT Astra Serif" w:cs="PT Astra Serif"/>
                <w:b/>
                <w:sz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</w:rPr>
              <w:t xml:space="preserve">Дата осуществления наблюдения</w:t>
            </w:r>
            <w:r>
              <w:rPr>
                <w:rFonts w:ascii="PT Astra Serif" w:hAnsi="PT Astra Serif" w:cs="PT Astra Serif"/>
                <w:b/>
                <w:sz w:val="24"/>
              </w:rPr>
            </w:r>
            <w:r>
              <w:rPr>
                <w:rFonts w:ascii="PT Astra Serif" w:hAnsi="PT Astra Serif" w:cs="PT Astra Serif"/>
                <w:b/>
                <w:sz w:val="24"/>
              </w:rPr>
            </w:r>
          </w:p>
        </w:tc>
      </w:tr>
      <w:tr>
        <w:trPr>
          <w:trHeight w:val="203"/>
        </w:trPr>
        <w:tblPrEx/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uppressLineNumbers w:val="0"/>
              <w:spacing w:line="21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>
          <w:trHeight w:val="253" w:hRule="exact"/>
        </w:trPr>
        <w:tblPrEx/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3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i/>
                <w:sz w:val="24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  <w:r>
              <w:rPr>
                <w:rFonts w:ascii="PT Astra Serif" w:hAnsi="PT Astra Serif" w:cs="PT Astra Serif"/>
                <w:i/>
                <w:sz w:val="24"/>
              </w:rPr>
            </w:r>
          </w:p>
        </w:tc>
      </w:tr>
      <w:tr>
        <w:trPr>
          <w:trHeight w:val="286" w:hRule="exact"/>
        </w:trPr>
        <w:tblPrEx/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3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rPr>
          <w:trHeight w:val="286" w:hRule="exact"/>
        </w:trPr>
        <w:tblPrEx/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3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  <w:tr>
        <w:trPr>
          <w:trHeight w:val="286" w:hRule="exact"/>
        </w:trPr>
        <w:tblPrEx/>
        <w:tc>
          <w:tcPr>
            <w:tcW w:w="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…</w:t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3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uppressLineNumbers w:val="0"/>
              <w:spacing w:line="283" w:lineRule="atLeast"/>
              <w:ind w:firstLine="0"/>
              <w:contextualSpacing/>
              <w:jc w:val="center"/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4"/>
              </w:rPr>
            </w:r>
            <w:r>
              <w:rPr>
                <w:rFonts w:ascii="PT Astra Serif" w:hAnsi="PT Astra Serif" w:cs="PT Astra Serif"/>
                <w:sz w:val="24"/>
              </w:rPr>
            </w:r>
          </w:p>
        </w:tc>
      </w:tr>
    </w:tbl>
    <w:p>
      <w:pPr>
        <w:pStyle w:val="998"/>
        <w:suppressLineNumbers w:val="0"/>
        <w:spacing w:line="221" w:lineRule="exact"/>
        <w:ind w:left="0" w:right="0" w:firstLine="0"/>
        <w:contextualSpacing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998"/>
        <w:spacing w:line="221" w:lineRule="exact"/>
        <w:ind w:left="0" w:right="0" w:firstLine="0"/>
        <w:contextualSpacing/>
        <w:jc w:val="both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Подтверждаю, что наблюдатели, указанные в списке: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98"/>
        <w:numPr>
          <w:numId w:val="27"/>
          <w:ilvl w:val="0"/>
        </w:numPr>
        <w:spacing w:line="221" w:lineRule="exact"/>
        <w:ind w:right="0"/>
        <w:contextualSpacing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не подпадают под ограничения, установленные пунктом 4 статьи 30 Федерального закона «Об основных гарантиях избирательных прав и права на участие в референдуме граждан Российской Федерации»;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998"/>
        <w:numPr>
          <w:numId w:val="27"/>
          <w:ilvl w:val="0"/>
        </w:numPr>
        <w:spacing w:line="221" w:lineRule="exact"/>
        <w:ind w:right="0"/>
        <w:contextualSpacing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дали письменное согласие на назначение их наблюдателями.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tabs>
          <w:tab w:val="left" w:pos="1943" w:leader="none"/>
          <w:tab w:val="left" w:pos="5337" w:leader="none"/>
        </w:tabs>
        <w:spacing w:before="240" w:after="0" w:line="221" w:lineRule="exact"/>
        <w:jc w:val="left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52705</wp:posOffset>
                </wp:positionV>
                <wp:extent cx="1761490" cy="252730"/>
                <wp:effectExtent l="219710" t="36195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1489" cy="252729"/>
                        </a:xfrm>
                        <a:custGeom>
                          <a:avLst/>
                          <a:gdLst>
                            <a:gd name="T0" fmla="*/ 0 w 1000"/>
                            <a:gd name="T1" fmla="*/ 0 h 1000"/>
                            <a:gd name="T2" fmla="*/ -127 w 1000"/>
                            <a:gd name="T3" fmla="*/ 0 h 1000"/>
                            <a:gd name="T4" fmla="*/ -127 w 1000"/>
                            <a:gd name="T5" fmla="*/ -127 h 1000"/>
                            <a:gd name="T6" fmla="*/ 0 w 1000"/>
                            <a:gd name="T7" fmla="*/ -127 h 1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00" h="1000" fill="norm" stroke="1" extrusionOk="0">
                              <a:moveTo>
                                <a:pt x="0" y="0"/>
                              </a:move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lnTo>
                                <a:pt x="0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style="position:absolute;z-index:251657216;o:allowoverlap:true;o:allowincell:true;mso-position-horizontal-relative:text;margin-left:30.35pt;mso-position-horizontal:absolute;mso-position-vertical-relative:text;margin-top:4.15pt;mso-position-vertical:absolute;width:138.70pt;height:19.90pt;mso-wrap-distance-left:9.00pt;mso-wrap-distance-top:0.00pt;mso-wrap-distance-right:9.00pt;mso-wrap-distance-bottom:0.00pt;visibility:visible;" path="m0,0l-12698,0l-12698,-12698l0,-12698xe" coordsize="100000,100000" fillcolor="#FFFFFF" stroked="f">
                <v:path textboxrect="0,0,100000,100000"/>
              </v:shape>
            </w:pict>
          </mc:Fallback>
        </mc:AlternateContent>
        <w:tab/>
        <w:tab/>
        <w:tab/>
        <w:tab/>
        <w:tab/>
        <w:t xml:space="preserve">  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__________________ /______________________________________________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</w:p>
    <w:p>
      <w:pPr>
        <w:spacing w:line="221" w:lineRule="exact"/>
        <w:ind w:left="7371"/>
        <w:contextualSpacing/>
        <w:jc w:val="both"/>
        <w:rPr>
          <w:rFonts w:ascii="PT Astra Serif" w:hAnsi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(</w:t>
      </w: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подпись, фамилия, инициалы уполномоченного лица политической парти</w:t>
      </w:r>
      <w:r>
        <w:rPr>
          <w:rFonts w:ascii="PT Astra Serif" w:hAnsi="PT Astra Serif" w:eastAsia="PT Astra Serif" w:cs="PT Astra Serif"/>
          <w:i/>
          <w:iCs/>
          <w:sz w:val="22"/>
          <w:szCs w:val="22"/>
        </w:rPr>
        <w:t xml:space="preserve">и/иного общественного объединения/уполномоченного лица инициативной группы</w:t>
      </w: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, дата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)</w:t>
      </w:r>
      <w:r>
        <w:rPr>
          <w:rFonts w:ascii="PT Astra Serif" w:hAnsi="PT Astra Serif" w:cs="PT Astra Serif"/>
          <w:sz w:val="22"/>
          <w:szCs w:val="22"/>
          <w:highlight w:val="none"/>
        </w:rPr>
      </w:r>
      <w:r>
        <w:rPr>
          <w:rFonts w:ascii="PT Astra Serif" w:hAnsi="PT Astra Serif" w:cs="PT Astra Serif"/>
          <w:sz w:val="22"/>
          <w:szCs w:val="22"/>
          <w:highlight w:val="none"/>
        </w:rPr>
      </w:r>
    </w:p>
    <w:p>
      <w:pPr>
        <w:spacing w:line="221" w:lineRule="exact"/>
        <w:ind w:left="7371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spacing w:after="0" w:line="221" w:lineRule="exact"/>
        <w:ind w:left="0" w:right="0"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Times New Roman" w:hAnsi="Times New Roman"/>
          <w:sz w:val="20"/>
          <w:szCs w:val="20"/>
          <w:lang w:eastAsia="ru-RU"/>
        </w:rPr>
        <w:br w:type="page" w:clear="all"/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35"/>
        <w:gridCol w:w="7268"/>
      </w:tblGrid>
      <w:tr>
        <w:trPr/>
        <w:tblPrEx/>
        <w:tc>
          <w:tcPr>
            <w:tcW w:w="7235" w:type="dxa"/>
            <w:noWrap w:val="false"/>
            <w:textDirection w:val="lrTb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</w:p>
        </w:tc>
        <w:tc>
          <w:tcPr>
            <w:tcW w:w="7268" w:type="dxa"/>
            <w:noWrap w:val="false"/>
            <w:textDirection w:val="lrTb"/>
          </w:tcPr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Приложение №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оряд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ку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представления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 формам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списка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назначенных 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наблюдателей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 проведении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выбо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ров, референдумов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(машиночитаемый вид, обязательная форма)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</w:tc>
      </w:tr>
    </w:tbl>
    <w:p>
      <w:pPr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192" w:lineRule="auto"/>
        <w:contextualSpacing/>
        <w:jc w:val="center"/>
        <w:rPr>
          <w:rFonts w:ascii="PT Astra Serif" w:hAnsi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субъекта Российской Федерации)</w:t>
      </w:r>
      <w:r>
        <w:rPr>
          <w:rFonts w:ascii="PT Astra Serif" w:hAnsi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250" w:lineRule="auto"/>
        <w:contextualSpacing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избирательной комиссии, в которую представляется список наблюдателей)</w:t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b/>
          <w:sz w:val="16"/>
          <w:szCs w:val="16"/>
        </w:rPr>
      </w:pPr>
      <w:r>
        <w:rPr>
          <w:rFonts w:ascii="PT Astra Serif" w:hAnsi="PT Astra Serif" w:eastAsia="PT Astra Serif" w:cs="PT Astra Serif"/>
          <w:b/>
          <w:sz w:val="16"/>
          <w:szCs w:val="16"/>
        </w:rPr>
      </w:r>
      <w:r>
        <w:rPr>
          <w:rFonts w:ascii="PT Astra Serif" w:hAnsi="PT Astra Serif" w:cs="PT Astra Serif"/>
          <w:b/>
          <w:sz w:val="16"/>
          <w:szCs w:val="16"/>
        </w:rPr>
      </w:r>
      <w:r>
        <w:rPr>
          <w:rFonts w:ascii="PT Astra Serif" w:hAnsi="PT Astra Serif" w:cs="PT Astra Serif"/>
          <w:b/>
          <w:sz w:val="16"/>
          <w:szCs w:val="16"/>
        </w:rPr>
      </w:r>
    </w:p>
    <w:p>
      <w:pPr>
        <w:spacing w:line="238" w:lineRule="auto"/>
        <w:contextualSpacing/>
        <w:jc w:val="center"/>
        <w:rPr>
          <w:rFonts w:ascii="PT Astra Serif" w:hAnsi="PT Astra Serif" w:cs="PT Astra Serif"/>
          <w:b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СПИСОК НАБЛЮДАТЕЛЕЙ,</w:t>
      </w:r>
      <w:r>
        <w:rPr>
          <w:rFonts w:ascii="PT Astra Serif" w:hAnsi="PT Astra Serif" w:cs="PT Astra Serif"/>
          <w:b/>
          <w:sz w:val="24"/>
        </w:rPr>
      </w:r>
      <w:r>
        <w:rPr>
          <w:rFonts w:ascii="PT Astra Serif" w:hAnsi="PT Astra Serif" w:cs="PT Astra Serif"/>
          <w:b/>
          <w:sz w:val="24"/>
        </w:rPr>
      </w:r>
    </w:p>
    <w:p>
      <w:pPr>
        <w:spacing w:line="238" w:lineRule="auto"/>
        <w:contextualSpacing/>
        <w:jc w:val="center"/>
        <w:rPr>
          <w:rFonts w:ascii="PT Astra Serif" w:hAnsi="PT Astra Serif" w:cs="PT Astra Serif"/>
          <w:b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назначенных избирательным объединением/иным общественным объединением/субъектом</w:t>
      </w:r>
      <w:r>
        <w:rPr>
          <w:rFonts w:ascii="PT Astra Serif" w:hAnsi="PT Astra Serif" w:cs="PT Astra Serif"/>
          <w:b/>
          <w:sz w:val="24"/>
        </w:rPr>
      </w:r>
      <w:r>
        <w:rPr>
          <w:rFonts w:ascii="PT Astra Serif" w:hAnsi="PT Astra Serif" w:cs="PT Astra Serif"/>
          <w:b/>
          <w:sz w:val="24"/>
        </w:rPr>
      </w:r>
    </w:p>
    <w:p>
      <w:pPr>
        <w:spacing w:line="238" w:lineRule="auto"/>
        <w:contextualSpacing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общественного контр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оля/зарегистрированным кандидатом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line="238" w:lineRule="auto"/>
        <w:contextualSpacing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на выборах, назначенных на 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spacing w:line="288" w:lineRule="auto"/>
        <w:contextualSpacing/>
        <w:jc w:val="center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______________________________________________________________________________________________________________________________</w:t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spacing w:line="288" w:lineRule="auto"/>
        <w:contextualSpacing/>
        <w:jc w:val="center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i/>
          <w:sz w:val="22"/>
          <w:szCs w:val="22"/>
        </w:rPr>
        <w:t xml:space="preserve">(дата голосования)</w:t>
      </w:r>
      <w:r>
        <w:rPr>
          <w:rFonts w:ascii="PT Astra Serif" w:hAnsi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Cs w:val="20"/>
        </w:rPr>
        <w:t xml:space="preserve">___________________________________________________________________________________________________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spacing w:line="192" w:lineRule="auto"/>
        <w:contextualSpacing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избирательного объединения/наименование иного общественного объединения/наименование субъекта общественного</w:t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p>
      <w:pPr>
        <w:spacing w:after="120" w:line="192" w:lineRule="auto"/>
        <w:contextualSpacing w:val="0"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контроля/фамилия, имя, отчество зарегистрированного кандидата)</w:t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tbl>
      <w:tblPr>
        <w:tblStyle w:val="997"/>
        <w:tblW w:w="153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1140"/>
        <w:gridCol w:w="986"/>
        <w:gridCol w:w="993"/>
        <w:gridCol w:w="709"/>
        <w:gridCol w:w="992"/>
        <w:gridCol w:w="993"/>
        <w:gridCol w:w="991"/>
        <w:gridCol w:w="993"/>
        <w:gridCol w:w="991"/>
        <w:gridCol w:w="1422"/>
        <w:gridCol w:w="1276"/>
        <w:gridCol w:w="1417"/>
        <w:gridCol w:w="1559"/>
      </w:tblGrid>
      <w:tr>
        <w:trPr>
          <w:trHeight w:val="975"/>
        </w:trPr>
        <w:tblPrEx/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  <w:highlight w:val="none"/>
              </w:rPr>
            </w:r>
          </w:p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Вид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  <w:highlight w:val="none"/>
              </w:rPr>
            </w:r>
          </w:p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  <w:highlight w:val="none"/>
              </w:rPr>
              <w:t xml:space="preserve">комиссии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Номер участка/ номер округа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Фамилия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Имя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Отчество 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Дата рождения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Серия паспорта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Номер паспорта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 Дата выдачи паспорта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4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Документ, заменяющий паспорт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Адрес места жительства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Контактный телефон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2"/>
                <w:szCs w:val="22"/>
              </w:rPr>
              <w:t xml:space="preserve">Дата осуществления наблюдения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</w:tr>
      <w:tr>
        <w:trPr/>
        <w:tblPrEx/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11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8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/>
        <w:tblPrEx/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/>
        <w:tblPrEx/>
        <w:tc>
          <w:tcPr>
            <w:tcW w:w="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...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pStyle w:val="1001"/>
        <w:tabs>
          <w:tab w:val="left" w:pos="1276" w:leader="none"/>
        </w:tabs>
        <w:rPr>
          <w:color w:val="0d0d0d" w:themeColor="text1" w:themeTint="F2"/>
          <w:sz w:val="16"/>
          <w:szCs w:val="16"/>
          <w14:ligatures w14:val="none"/>
        </w:rPr>
      </w:pPr>
      <w:r>
        <w:rPr>
          <w:color w:val="0d0d0d" w:themeColor="text1" w:themeTint="F2"/>
          <w:sz w:val="16"/>
          <w:szCs w:val="16"/>
          <w14:ligatures w14:val="none"/>
        </w:rPr>
      </w:r>
      <w:r>
        <w:rPr>
          <w:color w:val="0d0d0d" w:themeColor="text1" w:themeTint="F2"/>
          <w:sz w:val="16"/>
          <w:szCs w:val="16"/>
          <w14:ligatures w14:val="none"/>
        </w:rPr>
      </w:r>
      <w:r>
        <w:rPr>
          <w:color w:val="0d0d0d" w:themeColor="text1" w:themeTint="F2"/>
          <w:sz w:val="16"/>
          <w:szCs w:val="16"/>
          <w14:ligatures w14:val="none"/>
        </w:rPr>
      </w:r>
    </w:p>
    <w:p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none"/>
          <w:lang w:eastAsia="ru-RU"/>
        </w:rPr>
        <w:sectPr>
          <w:headerReference w:type="default" r:id="rId10"/>
          <w:headerReference w:type="first" r:id="rId11"/>
          <w:footnotePr>
            <w:numFmt w:val="chicago"/>
            <w:numRestart w:val="continuous"/>
            <w:pos w:val="pageBottom"/>
          </w:footnotePr>
          <w:endnotePr/>
          <w:type w:val="nextPage"/>
          <w:pgSz w:w="16840" w:h="11907" w:orient="landscape"/>
          <w:pgMar w:top="85" w:right="1134" w:bottom="113" w:left="1134" w:header="454" w:footer="340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35"/>
        <w:gridCol w:w="7268"/>
      </w:tblGrid>
      <w:tr>
        <w:trPr/>
        <w:tblPrEx/>
        <w:tc>
          <w:tcPr>
            <w:tcW w:w="7235" w:type="dxa"/>
            <w:noWrap w:val="false"/>
            <w:textDirection w:val="lrTb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  <w:r>
              <w:rPr>
                <w:rFonts w:ascii="Times New Roman" w:hAnsi="Times New Roman"/>
                <w:sz w:val="28"/>
                <w:szCs w:val="20"/>
                <w:lang w:eastAsia="ru-RU"/>
              </w:rPr>
            </w:r>
          </w:p>
        </w:tc>
        <w:tc>
          <w:tcPr>
            <w:tcW w:w="7268" w:type="dxa"/>
            <w:noWrap w:val="false"/>
            <w:textDirection w:val="lrTb"/>
          </w:tcPr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Приложение № 4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оряд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ку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представления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 формам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списка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назначенных 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наблюдателей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 проведении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выборов, референдумов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(машиночитаемый вид, обязательная форма)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</w:tc>
      </w:tr>
    </w:tbl>
    <w:p>
      <w:pPr>
        <w:pStyle w:val="1001"/>
        <w:tabs>
          <w:tab w:val="left" w:pos="1276" w:leader="none"/>
        </w:tabs>
        <w:spacing w:line="240" w:lineRule="auto"/>
        <w:ind w:left="360" w:firstLine="0"/>
        <w:contextualSpacing/>
        <w:jc w:val="center"/>
        <w:rPr>
          <w:rFonts w:ascii="PT Astra Serif" w:hAnsi="PT Astra Serif" w:cs="PT Astra Serif"/>
          <w:color w:val="0d0d0d" w:themeColor="text1" w:themeTint="F2"/>
          <w14:ligatures w14:val="none"/>
        </w:rPr>
      </w:pPr>
      <w:r>
        <w:rPr>
          <w:rFonts w:ascii="PT Astra Serif" w:hAnsi="PT Astra Serif" w:cs="PT Astra Serif"/>
          <w:color w:val="0d0d0d" w:themeColor="text1" w:themeTint="F2"/>
          <w14:ligatures w14:val="none"/>
        </w:rPr>
      </w:r>
      <w:r>
        <w:rPr>
          <w:rFonts w:ascii="PT Astra Serif" w:hAnsi="PT Astra Serif" w:cs="PT Astra Serif"/>
          <w:color w:val="0d0d0d" w:themeColor="text1" w:themeTint="F2"/>
          <w14:ligatures w14:val="none"/>
        </w:rPr>
      </w:r>
      <w:r>
        <w:rPr>
          <w:rFonts w:ascii="PT Astra Serif" w:hAnsi="PT Astra Serif" w:cs="PT Astra Serif"/>
          <w:color w:val="0d0d0d" w:themeColor="text1" w:themeTint="F2"/>
          <w14:ligatures w14:val="none"/>
        </w:rPr>
      </w:r>
    </w:p>
    <w:p>
      <w:pPr>
        <w:spacing w:line="288" w:lineRule="auto"/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192" w:lineRule="auto"/>
        <w:contextualSpacing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субъекта Российской Федерации)</w:t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p>
      <w:pPr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line="192" w:lineRule="auto"/>
        <w:contextualSpacing/>
        <w:jc w:val="center"/>
        <w:rPr>
          <w:rFonts w:ascii="PT Astra Serif" w:hAnsi="PT Astra Serif" w:cs="PT Astra Serif"/>
          <w:b/>
          <w:sz w:val="22"/>
          <w:szCs w:val="22"/>
          <w:u w:val="single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комиссии, в которую представляется список наблюдателей)</w:t>
      </w:r>
      <w:r>
        <w:rPr>
          <w:rFonts w:ascii="PT Astra Serif" w:hAnsi="PT Astra Serif" w:cs="PT Astra Serif"/>
          <w:b/>
          <w:sz w:val="22"/>
          <w:szCs w:val="22"/>
          <w:u w:val="single"/>
        </w:rPr>
      </w:r>
      <w:r>
        <w:rPr>
          <w:rFonts w:ascii="PT Astra Serif" w:hAnsi="PT Astra Serif" w:cs="PT Astra Serif"/>
          <w:b/>
          <w:sz w:val="22"/>
          <w:szCs w:val="22"/>
          <w:u w:val="single"/>
        </w:rPr>
      </w:r>
    </w:p>
    <w:p>
      <w:pPr>
        <w:spacing w:after="120"/>
        <w:contextualSpacing/>
        <w:jc w:val="center"/>
        <w:rPr>
          <w:rFonts w:ascii="PT Astra Serif" w:hAnsi="PT Astra Serif" w:cs="PT Astra Serif"/>
          <w:b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СПИСОК НАБЛЮДАТЕЛЕЙ,</w:t>
      </w:r>
      <w:r>
        <w:rPr>
          <w:rFonts w:ascii="PT Astra Serif" w:hAnsi="PT Astra Serif" w:cs="PT Astra Serif"/>
          <w:b/>
          <w:sz w:val="24"/>
        </w:rPr>
      </w:r>
      <w:r>
        <w:rPr>
          <w:rFonts w:ascii="PT Astra Serif" w:hAnsi="PT Astra Serif" w:cs="PT Astra Serif"/>
          <w:b/>
          <w:sz w:val="24"/>
        </w:rPr>
      </w:r>
    </w:p>
    <w:p>
      <w:pPr>
        <w:spacing w:line="259" w:lineRule="auto"/>
        <w:contextualSpacing/>
        <w:jc w:val="center"/>
        <w:rPr>
          <w:rFonts w:ascii="PT Astra Serif" w:hAnsi="PT Astra Serif" w:cs="PT Astra Serif"/>
          <w:szCs w:val="20"/>
          <w:u w:val="single"/>
        </w:rPr>
      </w:pPr>
      <w:r>
        <w:rPr>
          <w:rFonts w:ascii="PT Astra Serif" w:hAnsi="PT Astra Serif" w:eastAsia="PT Astra Serif" w:cs="PT Astra Serif"/>
          <w:b/>
          <w:bCs/>
          <w:sz w:val="24"/>
        </w:rPr>
        <w:t xml:space="preserve">назначенных</w:t>
      </w:r>
      <w:r>
        <w:rPr>
          <w:rFonts w:ascii="PT Astra Serif" w:hAnsi="PT Astra Serif" w:eastAsia="PT Astra Serif" w:cs="PT Astra Serif"/>
          <w:b w:val="0"/>
          <w:bCs w:val="0"/>
          <w:sz w:val="24"/>
        </w:rPr>
        <w:t xml:space="preserve"> </w:t>
      </w:r>
      <w:r>
        <w:rPr>
          <w:rFonts w:ascii="PT Astra Serif" w:hAnsi="PT Astra Serif" w:eastAsia="PT Astra Serif" w:cs="PT Astra Serif"/>
          <w:szCs w:val="20"/>
        </w:rPr>
        <w:t xml:space="preserve">________________________________________________________________________________________</w:t>
      </w:r>
      <w:r>
        <w:rPr>
          <w:rFonts w:ascii="PT Astra Serif" w:hAnsi="PT Astra Serif" w:cs="PT Astra Serif"/>
          <w:szCs w:val="20"/>
          <w:u w:val="single"/>
        </w:rPr>
      </w:r>
      <w:r>
        <w:rPr>
          <w:rFonts w:ascii="PT Astra Serif" w:hAnsi="PT Astra Serif" w:cs="PT Astra Serif"/>
          <w:szCs w:val="20"/>
          <w:u w:val="single"/>
        </w:rPr>
      </w:r>
    </w:p>
    <w:p>
      <w:pPr>
        <w:spacing w:after="120" w:line="192" w:lineRule="auto"/>
        <w:contextualSpacing/>
        <w:jc w:val="center"/>
        <w:rPr>
          <w:rFonts w:ascii="PT Astra Serif" w:hAnsi="PT Astra Serif" w:eastAsia="PT Astra Serif" w:cs="PT Astra Serif"/>
          <w:highlight w:val="none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(кем назначены)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spacing w:after="120" w:line="192" w:lineRule="auto"/>
        <w:contextualSpacing/>
        <w:jc w:val="center"/>
        <w:rPr>
          <w:rFonts w:ascii="PT Astra Serif" w:hAnsi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</w:p>
    <w:p>
      <w:pPr>
        <w:spacing w:after="120" w:line="192" w:lineRule="auto"/>
        <w:contextualSpacing/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на референдумах, назначенных на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spacing w:line="242" w:lineRule="auto"/>
        <w:contextualSpacing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Cs/>
        </w:rPr>
        <w:t xml:space="preserve">__________________________________________________________________________________________________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spacing w:after="120" w:line="264" w:lineRule="auto"/>
        <w:contextualSpacing/>
        <w:jc w:val="center"/>
        <w:rPr>
          <w:rFonts w:ascii="PT Astra Serif" w:hAnsi="PT Astra Serif" w:cs="PT Astra Serif"/>
          <w:b/>
          <w:sz w:val="24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(дата голосования)</w:t>
      </w:r>
      <w:r>
        <w:rPr>
          <w:rFonts w:ascii="PT Astra Serif" w:hAnsi="PT Astra Serif" w:cs="PT Astra Serif"/>
          <w:b/>
          <w:sz w:val="24"/>
        </w:rPr>
      </w:r>
      <w:r>
        <w:rPr>
          <w:rFonts w:ascii="PT Astra Serif" w:hAnsi="PT Astra Serif" w:cs="PT Astra Serif"/>
          <w:b/>
          <w:sz w:val="24"/>
        </w:rPr>
      </w:r>
    </w:p>
    <w:p>
      <w:pPr>
        <w:spacing w:after="120" w:line="192" w:lineRule="auto"/>
        <w:contextualSpacing/>
        <w:jc w:val="center"/>
        <w:rPr>
          <w:rFonts w:ascii="PT Astra Serif" w:hAnsi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</w:p>
    <w:tbl>
      <w:tblPr>
        <w:tblStyle w:val="997"/>
        <w:tblW w:w="14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276"/>
        <w:gridCol w:w="850"/>
        <w:gridCol w:w="993"/>
        <w:gridCol w:w="709"/>
        <w:gridCol w:w="992"/>
        <w:gridCol w:w="993"/>
        <w:gridCol w:w="991"/>
        <w:gridCol w:w="993"/>
        <w:gridCol w:w="991"/>
        <w:gridCol w:w="1276"/>
        <w:gridCol w:w="1276"/>
        <w:gridCol w:w="1276"/>
        <w:gridCol w:w="1559"/>
      </w:tblGrid>
      <w:tr>
        <w:trPr>
          <w:trHeight w:val="975"/>
        </w:trPr>
        <w:tblPrEx/>
        <w:tc>
          <w:tcPr>
            <w:tcW w:w="4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  <w:highlight w:val="none"/>
              </w:rPr>
            </w:r>
          </w:p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Вид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</w:r>
          </w:p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комиссии 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Номер участка 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Фамилия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Имя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Отчество 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Дата рождения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Серия паспорта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Номер паспорта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Дата выдачи паспорта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Документ, заменяющий паспорт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Адрес места жительства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Контактный телефон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3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Дата осуществления наблюдения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206"/>
        </w:trPr>
        <w:tblPrEx/>
        <w:tc>
          <w:tcPr>
            <w:tcW w:w="4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11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69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4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4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/>
        <w:tblPrEx/>
        <w:tc>
          <w:tcPr>
            <w:tcW w:w="4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/>
        <w:tblPrEx/>
        <w:tc>
          <w:tcPr>
            <w:tcW w:w="4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...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Cs w:val="28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sz w:val="22"/>
          <w:szCs w:val="22"/>
          <w:highlight w:val="none"/>
        </w:rPr>
      </w:pPr>
      <w:r>
        <w:rPr>
          <w:rFonts w:ascii="Times New Roman" w:hAnsi="Times New Roman"/>
          <w:sz w:val="22"/>
          <w:szCs w:val="22"/>
          <w:highlight w:val="none"/>
        </w:rPr>
      </w:r>
      <w:r>
        <w:rPr>
          <w:rFonts w:ascii="Times New Roman" w:hAnsi="Times New Roman"/>
          <w:sz w:val="22"/>
          <w:szCs w:val="22"/>
          <w:highlight w:val="none"/>
        </w:rPr>
      </w:r>
      <w:r>
        <w:rPr>
          <w:rFonts w:ascii="Times New Roman" w:hAnsi="Times New Roman"/>
          <w:sz w:val="22"/>
          <w:szCs w:val="22"/>
          <w:highlight w:val="none"/>
        </w:rPr>
      </w:r>
    </w:p>
    <w:p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p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p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p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p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p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none"/>
          <w:lang w:eastAsia="ru-RU"/>
        </w:rPr>
        <w:sectPr>
          <w:footnotePr>
            <w:numFmt w:val="chicago"/>
            <w:numRestart w:val="continuous"/>
            <w:pos w:val="pageBottom"/>
          </w:footnotePr>
          <w:endnotePr/>
          <w:type w:val="nextPage"/>
          <w:pgSz w:w="16840" w:h="11907" w:orient="landscape"/>
          <w:pgMar w:top="85" w:right="1134" w:bottom="113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sz w:val="28"/>
          <w:szCs w:val="28"/>
          <w:highlight w:val="none"/>
          <w:lang w:eastAsia="ru-RU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35"/>
        <w:gridCol w:w="7268"/>
      </w:tblGrid>
      <w:tr>
        <w:trPr/>
        <w:tblPrEx/>
        <w:tc>
          <w:tcPr>
            <w:tcW w:w="7235" w:type="dxa"/>
            <w:noWrap w:val="false"/>
            <w:textDirection w:val="lrTb"/>
          </w:tcPr>
          <w:p>
            <w:pPr>
              <w:spacing w:after="120" w:line="240" w:lineRule="auto"/>
              <w:jc w:val="both"/>
              <w:rPr>
                <w:rFonts w:ascii="PT Astra Serif" w:hAnsi="PT Astra Serif" w:cs="PT Astra Serif"/>
                <w:sz w:val="28"/>
                <w:szCs w:val="20"/>
              </w:rPr>
            </w:pPr>
            <w:r>
              <w:rPr>
                <w:rFonts w:ascii="Times New Roman" w:hAnsi="Times New Roman"/>
                <w:sz w:val="28"/>
                <w:szCs w:val="28"/>
                <w:highlight w:val="none"/>
                <w:lang w:eastAsia="ru-RU"/>
              </w:rPr>
              <w:br w:type="page" w:clear="all"/>
            </w:r>
            <w:r>
              <w:rPr>
                <w:rFonts w:ascii="PT Astra Serif" w:hAnsi="PT Astra Serif" w:cs="PT Astra Serif"/>
                <w:sz w:val="28"/>
                <w:szCs w:val="20"/>
              </w:rPr>
            </w:r>
            <w:r>
              <w:rPr>
                <w:rFonts w:ascii="PT Astra Serif" w:hAnsi="PT Astra Serif" w:cs="PT Astra Serif"/>
                <w:sz w:val="28"/>
                <w:szCs w:val="20"/>
              </w:rPr>
            </w:r>
          </w:p>
        </w:tc>
        <w:tc>
          <w:tcPr>
            <w:tcW w:w="7268" w:type="dxa"/>
            <w:noWrap w:val="false"/>
            <w:textDirection w:val="lrTb"/>
          </w:tcPr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lang w:eastAsia="ru-RU"/>
              </w:rPr>
              <w:t xml:space="preserve">Приложение № 5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lang w:eastAsia="ru-RU"/>
              </w:rPr>
              <w:t xml:space="preserve">к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оряд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ку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представления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 формам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списка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назначенных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наблюдателей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при проведении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выборов, референдумов</w:t>
            </w:r>
            <w:r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r>
          </w:p>
          <w:p>
            <w:pPr>
              <w:keepNext/>
              <w:keepLines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(рекомендуемая форма)</w:t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  <w14:ligatures w14:val="none"/>
              </w:rPr>
            </w:r>
          </w:p>
        </w:tc>
      </w:tr>
    </w:tbl>
    <w:p>
      <w:pPr>
        <w:spacing w:line="264" w:lineRule="auto"/>
        <w:contextualSpacing/>
        <w:jc w:val="center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субъекта Российской Федерации)</w:t>
      </w:r>
      <w:r>
        <w:rPr>
          <w:rFonts w:ascii="PT Astra Serif" w:hAnsi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СПИСОК НАБЛЮДАТЕЛЕЙ,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назначенных в участковую избирательную комиссию избирательного участка № ______</w:t>
      </w:r>
      <w:r>
        <w:rPr>
          <w:rFonts w:ascii="PT Astra Serif" w:hAnsi="PT Astra Serif" w:cs="PT Astra Serif"/>
          <w:b/>
          <w:bCs/>
          <w:sz w:val="24"/>
        </w:rPr>
      </w:r>
      <w:r>
        <w:rPr>
          <w:rFonts w:ascii="PT Astra Serif" w:hAnsi="PT Astra Serif" w:cs="PT Astra Serif"/>
          <w:b/>
          <w:bCs/>
          <w:sz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на выборах, назначенных на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spacing w:line="259" w:lineRule="auto"/>
        <w:contextualSpacing/>
        <w:jc w:val="center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______________________________________________________________________________________________________________________________</w:t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spacing w:line="247" w:lineRule="auto"/>
        <w:contextualSpacing/>
        <w:jc w:val="center"/>
        <w:rPr>
          <w:rFonts w:ascii="PT Astra Serif" w:hAnsi="PT Astra Serif" w:eastAsia="PT Astra Serif" w:cs="PT Astra Serif"/>
          <w:highlight w:val="none"/>
        </w:rPr>
      </w:pPr>
      <w:r>
        <w:rPr>
          <w:rFonts w:ascii="PT Astra Serif" w:hAnsi="PT Astra Serif" w:eastAsia="PT Astra Serif" w:cs="PT Astra Serif"/>
          <w:bCs/>
          <w:i/>
          <w:sz w:val="22"/>
          <w:szCs w:val="22"/>
        </w:rPr>
        <w:t xml:space="preserve">(дата голосования)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contextualSpacing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tbl>
      <w:tblPr>
        <w:tblStyle w:val="997"/>
        <w:tblW w:w="146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02"/>
        <w:gridCol w:w="992"/>
        <w:gridCol w:w="2416"/>
        <w:gridCol w:w="1984"/>
        <w:gridCol w:w="1417"/>
        <w:gridCol w:w="1695"/>
        <w:gridCol w:w="1417"/>
        <w:gridCol w:w="2557"/>
      </w:tblGrid>
      <w:tr>
        <w:trPr>
          <w:trHeight w:val="972"/>
        </w:trPr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Фамилия, имя,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отчество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Дата рождения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2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Серия, номер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и дата выдачи паспорта (документа, заменяющего паспорт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гражданина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Российской Федерации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Адрес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места жительства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Контактный телефон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Кем назначен 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Дата осуществления наблюдения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2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6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Выявлены ли ограничения, установленные законом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(да/нет),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указать, какие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18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18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  <w:szCs w:val="18"/>
              </w:rPr>
            </w:r>
            <w:r>
              <w:rPr>
                <w:rFonts w:ascii="PT Astra Serif" w:hAnsi="PT Astra Serif" w:cs="PT Astra Serif"/>
                <w:sz w:val="20"/>
                <w:szCs w:val="18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2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78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...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ind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contextualSpacing/>
        <w:jc w:val="left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pStyle w:val="998"/>
        <w:ind w:firstLine="709"/>
        <w:contextualSpacing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contextualSpacing/>
        <w:jc w:val="left"/>
        <w:rPr>
          <w:rFonts w:ascii="PT Astra Serif" w:hAnsi="PT Astra Serif" w:eastAsia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________________________________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________________________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______________   /____________________</w:t>
      </w: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eastAsia="PT Astra Serif" w:cs="PT Astra Serif"/>
          <w:sz w:val="20"/>
          <w:szCs w:val="20"/>
        </w:rPr>
      </w:r>
    </w:p>
    <w:p>
      <w:pPr>
        <w:spacing w:line="199" w:lineRule="auto"/>
        <w:contextualSpacing/>
        <w:jc w:val="left"/>
        <w:rPr>
          <w:rFonts w:ascii="PT Astra Serif" w:hAnsi="PT Astra Serif" w:eastAsia="PT Astra Serif" w:cs="PT Astra Serif"/>
          <w:bCs/>
          <w:i/>
          <w:sz w:val="20"/>
          <w:szCs w:val="20"/>
        </w:rPr>
      </w:pPr>
      <w:r>
        <w:rPr>
          <w:rFonts w:ascii="PT Astra Serif" w:hAnsi="PT Astra Serif" w:eastAsia="PT Astra Serif" w:cs="PT Astra Serif"/>
          <w:i/>
          <w:iCs/>
          <w:sz w:val="20"/>
          <w:szCs w:val="20"/>
        </w:rPr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                (должность, наименование 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территориальной 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комиссии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)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                   (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подпись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  (инициалы, фамилия)</w:t>
      </w:r>
      <w:r>
        <w:rPr>
          <w:rFonts w:ascii="PT Astra Serif" w:hAnsi="PT Astra Serif" w:eastAsia="PT Astra Serif" w:cs="PT Astra Serif"/>
          <w:bCs/>
          <w:i/>
          <w:sz w:val="20"/>
          <w:szCs w:val="20"/>
        </w:rPr>
      </w:r>
      <w:r>
        <w:rPr>
          <w:rFonts w:ascii="PT Astra Serif" w:hAnsi="PT Astra Serif" w:eastAsia="PT Astra Serif" w:cs="PT Astra Serif"/>
          <w:bCs/>
          <w:i/>
          <w:sz w:val="20"/>
          <w:szCs w:val="20"/>
        </w:rPr>
      </w:r>
    </w:p>
    <w:p>
      <w:pPr>
        <w:spacing w:line="199" w:lineRule="auto"/>
        <w:contextualSpacing/>
        <w:jc w:val="left"/>
        <w:rPr>
          <w:rFonts w:ascii="PT Astra Serif" w:hAnsi="PT Astra Serif" w:eastAsia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</w:p>
    <w:p>
      <w:pPr>
        <w:contextualSpacing/>
        <w:jc w:val="left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pStyle w:val="1001"/>
        <w:spacing w:line="240" w:lineRule="auto"/>
        <w:rPr>
          <w:sz w:val="24"/>
          <w:szCs w:val="24"/>
        </w:rPr>
        <w:sectPr>
          <w:footnotePr>
            <w:numFmt w:val="chicago"/>
            <w:numRestart w:val="continuous"/>
            <w:pos w:val="pageBottom"/>
          </w:footnotePr>
          <w:endnotePr/>
          <w:type w:val="nextPage"/>
          <w:pgSz w:w="16840" w:h="11907" w:orient="landscape"/>
          <w:pgMar w:top="85" w:right="1134" w:bottom="113" w:left="1134" w:header="709" w:footer="709" w:gutter="0"/>
          <w:cols w:num="1" w:sep="0" w:space="720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35"/>
        <w:gridCol w:w="7268"/>
      </w:tblGrid>
      <w:tr>
        <w:trPr/>
        <w:tblPrEx/>
        <w:tc>
          <w:tcPr>
            <w:tcW w:w="7235" w:type="dxa"/>
            <w:noWrap w:val="false"/>
            <w:textDirection w:val="lrTb"/>
          </w:tcPr>
          <w:p>
            <w:pPr>
              <w:spacing w:after="120" w:line="240" w:lineRule="auto"/>
              <w:jc w:val="both"/>
              <w:rPr>
                <w:rFonts w:ascii="PT Astra Serif" w:hAnsi="PT Astra Serif" w:cs="PT Astra Serif"/>
                <w:sz w:val="28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0"/>
                <w:lang w:eastAsia="ru-RU"/>
              </w:rPr>
            </w:r>
            <w:r>
              <w:rPr>
                <w:rFonts w:ascii="PT Astra Serif" w:hAnsi="PT Astra Serif" w:cs="PT Astra Serif"/>
                <w:sz w:val="28"/>
                <w:szCs w:val="20"/>
              </w:rPr>
            </w:r>
            <w:r>
              <w:rPr>
                <w:rFonts w:ascii="PT Astra Serif" w:hAnsi="PT Astra Serif" w:cs="PT Astra Serif"/>
                <w:sz w:val="28"/>
                <w:szCs w:val="20"/>
              </w:rPr>
            </w:r>
          </w:p>
        </w:tc>
        <w:tc>
          <w:tcPr>
            <w:tcW w:w="7268" w:type="dxa"/>
            <w:noWrap w:val="false"/>
            <w:textDirection w:val="lrTb"/>
          </w:tcPr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lang w:eastAsia="ru-RU"/>
              </w:rPr>
              <w:t xml:space="preserve">Приложение № 6</w:t>
            </w: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  <w:r>
              <w:rPr>
                <w:rFonts w:ascii="PT Astra Serif" w:hAnsi="PT Astra Serif" w:cs="PT Astra Serif"/>
                <w:bCs/>
                <w:sz w:val="20"/>
                <w:szCs w:val="20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0"/>
                <w:szCs w:val="20"/>
                <w:lang w:eastAsia="ru-RU"/>
              </w:rPr>
              <w:t xml:space="preserve">к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оряд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ку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представления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 формам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списка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 назначенных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наблюдателей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при проведении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lang w:eastAsia="ru-RU"/>
              </w:rPr>
              <w:t xml:space="preserve">выборов, референдумов</w:t>
            </w:r>
            <w:r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r>
          </w:p>
          <w:p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(рекомендуемая форма)</w:t>
            </w:r>
            <w:r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14:ligatures w14:val="none"/>
              </w:rPr>
            </w:r>
          </w:p>
        </w:tc>
      </w:tr>
    </w:tbl>
    <w:p>
      <w:pPr>
        <w:pStyle w:val="1001"/>
        <w:tabs>
          <w:tab w:val="left" w:pos="1276" w:leader="none"/>
        </w:tabs>
        <w:spacing w:line="240" w:lineRule="auto"/>
        <w:ind w:left="360" w:firstLine="0"/>
        <w:rPr>
          <w:color w:val="0d0d0d" w:themeColor="text1" w:themeTint="F2"/>
          <w14:ligatures w14:val="none"/>
        </w:rPr>
      </w:pPr>
      <w:r>
        <w:rPr>
          <w:highlight w:val="none"/>
        </w:rPr>
      </w:r>
      <w:r>
        <w:rPr>
          <w:color w:val="0d0d0d" w:themeColor="text1" w:themeTint="F2"/>
          <w14:ligatures w14:val="none"/>
        </w:rPr>
      </w:r>
      <w:r>
        <w:rPr>
          <w:color w:val="0d0d0d" w:themeColor="text1" w:themeTint="F2"/>
          <w14:ligatures w14:val="none"/>
        </w:rPr>
      </w:r>
    </w:p>
    <w:p>
      <w:pPr>
        <w:spacing w:line="264" w:lineRule="auto"/>
        <w:contextualSpacing/>
        <w:jc w:val="center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  <w:t xml:space="preserve">(наименование субъекта Российской Федерации)</w:t>
      </w:r>
      <w:r>
        <w:rPr>
          <w:rFonts w:ascii="PT Astra Serif" w:hAnsi="PT Astra Serif" w:cs="PT Astra Serif"/>
          <w:bCs/>
          <w:i/>
          <w:sz w:val="22"/>
          <w:szCs w:val="22"/>
        </w:rPr>
      </w:r>
      <w:r>
        <w:rPr>
          <w:rFonts w:ascii="PT Astra Serif" w:hAnsi="PT Astra Serif" w:cs="PT Astra Serif"/>
          <w:bCs/>
          <w:i/>
          <w:sz w:val="22"/>
          <w:szCs w:val="22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</w:rPr>
      </w:pPr>
      <w:r>
        <w:rPr>
          <w:rFonts w:ascii="PT Astra Serif" w:hAnsi="PT Astra Serif" w:eastAsia="PT Astra Serif" w:cs="PT Astra Serif"/>
          <w:b/>
          <w:bCs/>
          <w:sz w:val="24"/>
        </w:rPr>
      </w:r>
      <w:r>
        <w:rPr>
          <w:rFonts w:ascii="PT Astra Serif" w:hAnsi="PT Astra Serif" w:cs="PT Astra Serif"/>
          <w:b/>
          <w:bCs/>
          <w:sz w:val="24"/>
        </w:rPr>
      </w:r>
      <w:r>
        <w:rPr>
          <w:rFonts w:ascii="PT Astra Serif" w:hAnsi="PT Astra Serif" w:cs="PT Astra Serif"/>
          <w:b/>
          <w:bCs/>
          <w:sz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СПИСОК НАБЛЮДАТЕЛЕЙ,</w:t>
      </w:r>
      <w:r>
        <w:rPr>
          <w:rFonts w:ascii="PT Astra Serif" w:hAnsi="PT Astra Serif" w:cs="PT Astra Serif"/>
          <w:b/>
          <w:bCs/>
          <w:sz w:val="24"/>
        </w:rPr>
      </w:r>
      <w:r>
        <w:rPr>
          <w:rFonts w:ascii="PT Astra Serif" w:hAnsi="PT Astra Serif" w:cs="PT Astra Serif"/>
          <w:b/>
          <w:bCs/>
          <w:sz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</w:rPr>
      </w:pPr>
      <w:r>
        <w:rPr>
          <w:rFonts w:ascii="PT Astra Serif" w:hAnsi="PT Astra Serif" w:eastAsia="PT Astra Serif" w:cs="PT Astra Serif"/>
          <w:b/>
          <w:sz w:val="24"/>
        </w:rPr>
        <w:t xml:space="preserve">назначенных в участковую комиссию референдума участка референдума № ______</w:t>
      </w:r>
      <w:r>
        <w:rPr>
          <w:rFonts w:ascii="PT Astra Serif" w:hAnsi="PT Astra Serif" w:cs="PT Astra Serif"/>
          <w:b/>
          <w:bCs/>
          <w:sz w:val="24"/>
        </w:rPr>
      </w:r>
      <w:r>
        <w:rPr>
          <w:rFonts w:ascii="PT Astra Serif" w:hAnsi="PT Astra Serif" w:cs="PT Astra Serif"/>
          <w:b/>
          <w:bCs/>
          <w:sz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на референдуме, назначенном на 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sz w:val="16"/>
          <w:szCs w:val="16"/>
        </w:rPr>
      </w:pPr>
      <w:r>
        <w:rPr>
          <w:rFonts w:ascii="PT Astra Serif" w:hAnsi="PT Astra Serif" w:eastAsia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  <w:szCs w:val="22"/>
        </w:rPr>
        <w:t xml:space="preserve">______________________________________________________________________________________________________________________________</w:t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spacing w:line="264" w:lineRule="auto"/>
        <w:contextualSpacing/>
        <w:jc w:val="center"/>
        <w:rPr>
          <w:rFonts w:ascii="PT Astra Serif" w:hAnsi="PT Astra Serif" w:cs="PT Astra Serif"/>
          <w:bCs/>
          <w:sz w:val="22"/>
          <w:szCs w:val="22"/>
        </w:rPr>
      </w:pPr>
      <w:r>
        <w:rPr>
          <w:rFonts w:ascii="PT Astra Serif" w:hAnsi="PT Astra Serif" w:eastAsia="PT Astra Serif" w:cs="PT Astra Serif"/>
          <w:bCs/>
          <w:i/>
          <w:sz w:val="22"/>
          <w:szCs w:val="22"/>
        </w:rPr>
        <w:t xml:space="preserve">(дата голосования)</w:t>
      </w:r>
      <w:r>
        <w:rPr>
          <w:rFonts w:ascii="PT Astra Serif" w:hAnsi="PT Astra Serif" w:cs="PT Astra Serif"/>
          <w:bCs/>
          <w:sz w:val="22"/>
          <w:szCs w:val="22"/>
        </w:rPr>
      </w:r>
      <w:r>
        <w:rPr>
          <w:rFonts w:ascii="PT Astra Serif" w:hAnsi="PT Astra Serif" w:cs="PT Astra Serif"/>
          <w:bCs/>
          <w:sz w:val="22"/>
          <w:szCs w:val="22"/>
        </w:rPr>
      </w:r>
    </w:p>
    <w:p>
      <w:pPr>
        <w:spacing w:after="120" w:line="192" w:lineRule="auto"/>
        <w:contextualSpacing/>
        <w:jc w:val="center"/>
        <w:rPr>
          <w:rFonts w:ascii="PT Astra Serif" w:hAnsi="PT Astra Serif" w:cs="PT Astra Serif"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  <w:r>
        <w:rPr>
          <w:rFonts w:ascii="PT Astra Serif" w:hAnsi="PT Astra Serif" w:cs="PT Astra Serif"/>
          <w:i/>
          <w:sz w:val="22"/>
          <w:szCs w:val="22"/>
        </w:rPr>
      </w:r>
    </w:p>
    <w:tbl>
      <w:tblPr>
        <w:tblStyle w:val="997"/>
        <w:tblW w:w="147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02"/>
        <w:gridCol w:w="992"/>
        <w:gridCol w:w="2558"/>
        <w:gridCol w:w="1984"/>
        <w:gridCol w:w="1417"/>
        <w:gridCol w:w="1554"/>
        <w:gridCol w:w="1417"/>
        <w:gridCol w:w="2691"/>
      </w:tblGrid>
      <w:tr>
        <w:trPr>
          <w:trHeight w:val="975"/>
        </w:trPr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Фамилия, имя,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отчество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Дата рождения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2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Серия, номер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и дата выдачи паспорта (документа, заменяющего паспорт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гражданина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Российской Федерации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Адрес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места жительства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Контактный телефон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Кем назначен </w:t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Дата осуществления наблюдения</w:t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r>
          </w:p>
        </w:tc>
        <w:tc>
          <w:tcPr>
            <w:tcW w:w="2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center"/>
          </w:tcPr>
          <w:p>
            <w:pPr>
              <w:suppressLineNumbers w:val="0"/>
              <w:spacing w:line="221" w:lineRule="auto"/>
              <w:ind w:left="0" w:right="0" w:firstLine="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t xml:space="preserve">Выявлены ли ограничения, установленные законом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(да/нет),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/>
                <w:sz w:val="20"/>
                <w:szCs w:val="20"/>
              </w:rPr>
              <w:br/>
              <w:t xml:space="preserve">указать, какие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2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9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/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rPr>
          <w:trHeight w:val="304"/>
        </w:trPr>
        <w:tblPrEx/>
        <w:tc>
          <w:tcPr>
            <w:tcW w:w="4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...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5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W w:w="2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extDirection w:val="lrTb"/>
            <w:vAlign w:val="bottom"/>
          </w:tcPr>
          <w:p>
            <w:pPr>
              <w:suppressLineNumbers w:val="0"/>
              <w:spacing w:line="247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pStyle w:val="998"/>
        <w:ind w:firstLine="709"/>
        <w:contextualSpacing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98"/>
        <w:ind w:firstLine="709"/>
        <w:contextualSpacing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98"/>
        <w:ind w:firstLine="709"/>
        <w:contextualSpacing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contextualSpacing/>
        <w:jc w:val="left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________________________________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________________________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______________   /____________________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pacing w:line="199" w:lineRule="auto"/>
        <w:contextualSpacing/>
        <w:jc w:val="left"/>
        <w:rPr>
          <w:rFonts w:ascii="PT Astra Serif" w:hAnsi="PT Astra Serif" w:eastAsia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i/>
          <w:iCs/>
          <w:sz w:val="20"/>
          <w:szCs w:val="20"/>
        </w:rPr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                (должность, наименование 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территориальной 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комиссии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)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                   (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подпись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</w:t>
      </w:r>
      <w:r>
        <w:rPr>
          <w:rFonts w:ascii="PT Astra Serif" w:hAnsi="PT Astra Serif" w:eastAsia="PT Astra Serif" w:cs="PT Astra Serif"/>
          <w:i/>
          <w:iCs/>
          <w:sz w:val="20"/>
          <w:szCs w:val="20"/>
        </w:rPr>
        <w:t xml:space="preserve">  (инициалы, фамилия)</w:t>
      </w: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</w:p>
    <w:p>
      <w:pPr>
        <w:spacing w:line="199" w:lineRule="auto"/>
        <w:contextualSpacing/>
        <w:jc w:val="left"/>
        <w:rPr>
          <w:rFonts w:ascii="PT Astra Serif" w:hAnsi="PT Astra Serif" w:eastAsia="PT Astra Serif" w:cs="PT Astra Serif"/>
          <w:bCs/>
          <w:i/>
          <w:sz w:val="22"/>
          <w:szCs w:val="22"/>
        </w:rPr>
      </w:pP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  <w:r>
        <w:rPr>
          <w:rFonts w:ascii="PT Astra Serif" w:hAnsi="PT Astra Serif" w:eastAsia="PT Astra Serif" w:cs="PT Astra Serif"/>
          <w:bCs/>
          <w:i/>
          <w:sz w:val="22"/>
          <w:szCs w:val="22"/>
        </w:rPr>
      </w:r>
    </w:p>
    <w:p>
      <w:pPr>
        <w:pStyle w:val="998"/>
        <w:ind w:firstLine="709"/>
        <w:contextualSpacing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notePr>
        <w:numFmt w:val="chicago"/>
        <w:numRestart w:val="continuous"/>
        <w:pos w:val="pageBottom"/>
      </w:footnotePr>
      <w:endnotePr/>
      <w:type w:val="nextPage"/>
      <w:pgSz w:w="16840" w:h="11907" w:orient="landscape"/>
      <w:pgMar w:top="85" w:right="1134" w:bottom="113" w:left="1134" w:header="454" w:footer="36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409020205020404"/>
  </w:font>
  <w:font w:name="PT Astra Serif">
    <w:panose1 w:val="020A0603040505020204"/>
  </w:font>
  <w:font w:name="Times New Roman CYR">
    <w:panose1 w:val="02000603000000000000"/>
  </w:font>
  <w:font w:name="Tahoma">
    <w:panose1 w:val="020B0606040504020204"/>
  </w:font>
  <w:font w:name="Wingdings">
    <w:panose1 w:val="05010000000000000000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2"/>
      <w:ind w:firstLine="0"/>
      <w:rPr>
        <w:rFonts w:ascii="PT Astra Serif" w:hAnsi="PT Astra Serif" w:cs="PT Astra Serif"/>
        <w:sz w:val="16"/>
        <w:szCs w:val="16"/>
      </w:rPr>
    </w:pPr>
    <w:r>
      <w:rPr>
        <w:rFonts w:ascii="PT Astra Serif" w:hAnsi="PT Astra Serif" w:eastAsia="PT Astra Serif" w:cs="PT Astra Serif"/>
        <w:sz w:val="16"/>
        <w:szCs w:val="16"/>
      </w:rPr>
      <w:t xml:space="preserve">a0305005</w:t>
    </w:r>
    <w:r>
      <w:rPr>
        <w:rFonts w:ascii="PT Astra Serif" w:hAnsi="PT Astra Serif" w:cs="PT Astra Serif"/>
        <w:sz w:val="16"/>
        <w:szCs w:val="16"/>
      </w:rPr>
    </w:r>
    <w:r>
      <w:rPr>
        <w:rFonts w:ascii="PT Astra Serif" w:hAnsi="PT Astra Serif" w:cs="PT Astra Serif"/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2"/>
      <w:ind w:firstLine="0"/>
      <w:rPr>
        <w:rFonts w:ascii="PT Astra Serif" w:hAnsi="PT Astra Serif" w:cs="PT Astra Serif"/>
        <w:sz w:val="16"/>
        <w:szCs w:val="16"/>
      </w:rPr>
    </w:pPr>
    <w:r>
      <w:rPr>
        <w:rFonts w:ascii="PT Astra Serif" w:hAnsi="PT Astra Serif" w:eastAsia="PT Astra Serif" w:cs="PT Astra Serif"/>
        <w:sz w:val="16"/>
        <w:szCs w:val="16"/>
      </w:rPr>
      <w:t xml:space="preserve">a0305005</w:t>
    </w:r>
    <w:r>
      <w:rPr>
        <w:rFonts w:ascii="PT Astra Serif" w:hAnsi="PT Astra Serif" w:eastAsia="PT Astra Serif" w:cs="PT Astra Serif"/>
        <w:sz w:val="16"/>
        <w:szCs w:val="16"/>
      </w:rPr>
    </w:r>
    <w:r>
      <w:rPr>
        <w:rFonts w:ascii="PT Astra Serif" w:hAnsi="PT Astra Serif" w:cs="PT Astra Serif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2">
    <w:p>
      <w:pPr>
        <w:pStyle w:val="998"/>
        <w:spacing w:after="0" w:afterAutospacing="0" w:line="120" w:lineRule="auto"/>
        <w:ind w:left="709" w:right="0" w:firstLine="0"/>
        <w:contextualSpacing/>
        <w:jc w:val="left"/>
        <w:rPr>
          <w:rFonts w:ascii="PT Astra Serif" w:hAnsi="PT Astra Serif" w:cs="PT Astra Serif"/>
          <w:sz w:val="22"/>
          <w:szCs w:val="22"/>
        </w:rPr>
      </w:pPr>
      <w:r>
        <w:rPr>
          <w:rStyle w:val="1000"/>
          <w:rFonts w:ascii="PT Astra Serif" w:hAnsi="PT Astra Serif" w:eastAsia="PT Astra Serif" w:cs="PT Astra Serif"/>
          <w:sz w:val="20"/>
          <w:szCs w:val="20"/>
        </w:rPr>
        <w:t xml:space="preserve">*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Контактный телефон указывается по желанию. </w:t>
      </w: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spacing w:after="0" w:afterAutospacing="0" w:line="240" w:lineRule="auto"/>
        <w:ind w:left="709" w:right="0" w:firstLine="0"/>
        <w:contextualSpacing/>
        <w:jc w:val="left"/>
        <w:rPr>
          <w:rFonts w:ascii="PT Astra Serif" w:hAnsi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Список назначенных наблюдателей подготовлен с использованием СПИ ЦИК России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2"/>
          <w:szCs w:val="22"/>
          <w:highlight w:val="none"/>
        </w:rPr>
      </w:r>
    </w:p>
  </w:footnote>
  <w:footnote w:id="3">
    <w:p>
      <w:pPr>
        <w:pStyle w:val="998"/>
        <w:spacing w:line="120" w:lineRule="auto"/>
        <w:ind w:left="0" w:right="0" w:firstLine="709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Style w:val="1000"/>
          <w:rFonts w:ascii="PT Astra Serif" w:hAnsi="PT Astra Serif" w:eastAsia="PT Astra Serif" w:cs="PT Astra Serif"/>
          <w:sz w:val="20"/>
          <w:szCs w:val="20"/>
        </w:rPr>
        <w:t xml:space="preserve">*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Контактный телефон указывается по желанию.</w:t>
      </w: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998"/>
        <w:ind w:left="0" w:right="0" w:firstLine="709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Список назначенных наблюдателей подготовлен с использованием СПИ ЦИК России</w:t>
      </w: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ind w:left="0" w:right="0" w:firstLine="0"/>
      <w:jc w:val="center"/>
      <w:rPr>
        <w:rFonts w:ascii="PT Astra Serif" w:hAnsi="PT Astra Serif" w:cs="PT Astra Serif"/>
        <w:sz w:val="24"/>
        <w:szCs w:val="24"/>
      </w:rPr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jc w:val="center"/>
      <w:rPr>
        <w:rFonts w:ascii="Times New Roman" w:hAnsi="Times New Roman"/>
        <w:sz w:val="2"/>
        <w:szCs w:val="2"/>
      </w:rPr>
    </w:pPr>
    <w:r>
      <w:rPr>
        <w:rFonts w:ascii="Times New Roman" w:hAnsi="Times New Roman"/>
        <w:sz w:val="2"/>
        <w:szCs w:val="2"/>
      </w:rPr>
    </w:r>
    <w:r>
      <w:rPr>
        <w:rFonts w:ascii="Times New Roman" w:hAnsi="Times New Roman"/>
        <w:sz w:val="2"/>
        <w:szCs w:val="2"/>
      </w:rPr>
    </w:r>
    <w:r>
      <w:rPr>
        <w:rFonts w:ascii="Times New Roman" w:hAnsi="Times New Roman"/>
        <w:sz w:val="2"/>
        <w:szCs w:val="2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rPr>
        <w:sz w:val="2"/>
        <w:szCs w:val="2"/>
      </w:rPr>
    </w:pPr>
    <w:r>
      <w:rPr>
        <w:sz w:val="2"/>
        <w:szCs w:val="2"/>
      </w:rPr>
    </w:r>
    <w:r>
      <w:rPr>
        <w:sz w:val="2"/>
        <w:szCs w:val="2"/>
      </w:rPr>
    </w:r>
    <w:r>
      <w:rPr>
        <w:sz w:val="2"/>
        <w:szCs w:val="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744" w:hanging="1035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744" w:hanging="1035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80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2160"/>
      </w:pPr>
      <w:rPr>
        <w:rFonts w:hint="default"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4" w:hanging="1005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984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704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424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144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64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584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304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024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744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3">
    <w:name w:val="Heading 1 Char"/>
    <w:basedOn w:val="983"/>
    <w:link w:val="98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4">
    <w:name w:val="Heading 2"/>
    <w:basedOn w:val="981"/>
    <w:next w:val="981"/>
    <w:link w:val="815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5">
    <w:name w:val="Heading 2 Char"/>
    <w:basedOn w:val="983"/>
    <w:link w:val="814"/>
    <w:uiPriority w:val="9"/>
    <w:rPr>
      <w:rFonts w:ascii="Liberation Sans" w:hAnsi="Liberation Sans" w:eastAsia="Liberation Sans" w:cs="Liberation Sans"/>
      <w:sz w:val="34"/>
    </w:rPr>
  </w:style>
  <w:style w:type="paragraph" w:styleId="816">
    <w:name w:val="Heading 3"/>
    <w:basedOn w:val="981"/>
    <w:next w:val="981"/>
    <w:link w:val="817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7">
    <w:name w:val="Heading 3 Char"/>
    <w:basedOn w:val="983"/>
    <w:link w:val="81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818">
    <w:name w:val="Heading 4"/>
    <w:basedOn w:val="981"/>
    <w:next w:val="981"/>
    <w:link w:val="819"/>
    <w:uiPriority w:val="9"/>
    <w:unhideWhenUsed/>
    <w:qFormat/>
    <w:pPr>
      <w:keepNext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19">
    <w:name w:val="Heading 4 Char"/>
    <w:basedOn w:val="983"/>
    <w:link w:val="81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0">
    <w:name w:val="Heading 5"/>
    <w:basedOn w:val="981"/>
    <w:next w:val="981"/>
    <w:link w:val="821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1">
    <w:name w:val="Heading 5 Char"/>
    <w:basedOn w:val="983"/>
    <w:link w:val="8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2">
    <w:name w:val="Heading 6"/>
    <w:basedOn w:val="981"/>
    <w:next w:val="981"/>
    <w:link w:val="823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3">
    <w:name w:val="Heading 6 Char"/>
    <w:basedOn w:val="983"/>
    <w:link w:val="8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4">
    <w:name w:val="Heading 7"/>
    <w:basedOn w:val="981"/>
    <w:next w:val="981"/>
    <w:link w:val="825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5">
    <w:name w:val="Heading 7 Char"/>
    <w:basedOn w:val="983"/>
    <w:link w:val="8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6">
    <w:name w:val="Heading 8"/>
    <w:basedOn w:val="981"/>
    <w:next w:val="981"/>
    <w:link w:val="827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7">
    <w:name w:val="Heading 8 Char"/>
    <w:basedOn w:val="983"/>
    <w:link w:val="8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8">
    <w:name w:val="Heading 9"/>
    <w:basedOn w:val="981"/>
    <w:next w:val="981"/>
    <w:link w:val="829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9">
    <w:name w:val="Heading 9 Char"/>
    <w:basedOn w:val="983"/>
    <w:link w:val="8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0">
    <w:name w:val="No Spacing"/>
    <w:uiPriority w:val="1"/>
    <w:qFormat/>
    <w:pPr>
      <w:spacing w:before="0" w:after="0" w:line="240" w:lineRule="auto"/>
    </w:pPr>
  </w:style>
  <w:style w:type="paragraph" w:styleId="831">
    <w:name w:val="Title"/>
    <w:basedOn w:val="981"/>
    <w:next w:val="981"/>
    <w:link w:val="832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32">
    <w:name w:val="Title Char"/>
    <w:basedOn w:val="983"/>
    <w:link w:val="831"/>
    <w:uiPriority w:val="10"/>
    <w:rPr>
      <w:sz w:val="48"/>
      <w:szCs w:val="48"/>
    </w:rPr>
  </w:style>
  <w:style w:type="paragraph" w:styleId="833">
    <w:name w:val="Subtitle"/>
    <w:basedOn w:val="981"/>
    <w:next w:val="981"/>
    <w:link w:val="834"/>
    <w:uiPriority w:val="11"/>
    <w:qFormat/>
    <w:pPr>
      <w:spacing w:before="200" w:after="200"/>
    </w:pPr>
    <w:rPr>
      <w:sz w:val="24"/>
      <w:szCs w:val="24"/>
    </w:rPr>
  </w:style>
  <w:style w:type="character" w:styleId="834">
    <w:name w:val="Subtitle Char"/>
    <w:basedOn w:val="983"/>
    <w:link w:val="833"/>
    <w:uiPriority w:val="11"/>
    <w:rPr>
      <w:sz w:val="24"/>
      <w:szCs w:val="24"/>
    </w:rPr>
  </w:style>
  <w:style w:type="paragraph" w:styleId="835">
    <w:name w:val="Quote"/>
    <w:basedOn w:val="981"/>
    <w:next w:val="981"/>
    <w:link w:val="836"/>
    <w:uiPriority w:val="29"/>
    <w:qFormat/>
    <w:pPr>
      <w:ind w:left="720" w:right="720"/>
    </w:pPr>
    <w:rPr>
      <w:i/>
    </w:rPr>
  </w:style>
  <w:style w:type="character" w:styleId="836">
    <w:name w:val="Quote Char"/>
    <w:link w:val="835"/>
    <w:uiPriority w:val="29"/>
    <w:rPr>
      <w:i/>
    </w:rPr>
  </w:style>
  <w:style w:type="paragraph" w:styleId="837">
    <w:name w:val="Intense Quote"/>
    <w:basedOn w:val="981"/>
    <w:next w:val="981"/>
    <w:link w:val="83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838">
    <w:name w:val="Intense Quote Char"/>
    <w:link w:val="837"/>
    <w:uiPriority w:val="30"/>
    <w:rPr>
      <w:i/>
    </w:rPr>
  </w:style>
  <w:style w:type="character" w:styleId="839">
    <w:name w:val="Header Char"/>
    <w:basedOn w:val="983"/>
    <w:link w:val="990"/>
    <w:uiPriority w:val="99"/>
  </w:style>
  <w:style w:type="character" w:styleId="840">
    <w:name w:val="Footer Char"/>
    <w:basedOn w:val="983"/>
    <w:link w:val="992"/>
    <w:uiPriority w:val="99"/>
  </w:style>
  <w:style w:type="paragraph" w:styleId="841">
    <w:name w:val="Caption"/>
    <w:basedOn w:val="981"/>
    <w:next w:val="981"/>
    <w:link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2">
    <w:name w:val="Caption Char"/>
    <w:basedOn w:val="983"/>
    <w:link w:val="841"/>
    <w:uiPriority w:val="35"/>
    <w:rPr>
      <w:b/>
      <w:bCs/>
      <w:color w:val="4f81bd" w:themeColor="accent1"/>
      <w:sz w:val="18"/>
      <w:szCs w:val="18"/>
    </w:rPr>
  </w:style>
  <w:style w:type="table" w:styleId="843">
    <w:name w:val="Table Grid Light"/>
    <w:basedOn w:val="9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4">
    <w:name w:val="Plain Table 1"/>
    <w:basedOn w:val="9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5">
    <w:name w:val="Plain Table 2"/>
    <w:basedOn w:val="9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6">
    <w:name w:val="Plain Table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7">
    <w:name w:val="Plain Table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Plain Table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49">
    <w:name w:val="Grid Table 1 Light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7">
    <w:name w:val="Grid Table 2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8">
    <w:name w:val="Grid Table 2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9">
    <w:name w:val="Grid Table 2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0">
    <w:name w:val="Grid Table 2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1">
    <w:name w:val="Grid Table 2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2">
    <w:name w:val="Grid Table 2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3">
    <w:name w:val="Grid Table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4">
    <w:name w:val="Grid Table 3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5">
    <w:name w:val="Grid Table 3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6">
    <w:name w:val="Grid Table 3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7">
    <w:name w:val="Grid Table 3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8">
    <w:name w:val="Grid Table 3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9">
    <w:name w:val="Grid Table 3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70">
    <w:name w:val="Grid Table 4"/>
    <w:basedOn w:val="9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1">
    <w:name w:val="Grid Table 4 - Accent 1"/>
    <w:basedOn w:val="9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2">
    <w:name w:val="Grid Table 4 - Accent 2"/>
    <w:basedOn w:val="9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3">
    <w:name w:val="Grid Table 4 - Accent 3"/>
    <w:basedOn w:val="9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4">
    <w:name w:val="Grid Table 4 - Accent 4"/>
    <w:basedOn w:val="9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5">
    <w:name w:val="Grid Table 4 - Accent 5"/>
    <w:basedOn w:val="9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6">
    <w:name w:val="Grid Table 4 - Accent 6"/>
    <w:basedOn w:val="9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7">
    <w:name w:val="Grid Table 5 Dark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78">
    <w:name w:val="Grid Table 5 Dark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879">
    <w:name w:val="Grid Table 5 Dark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880">
    <w:name w:val="Grid Table 5 Dark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881">
    <w:name w:val="Grid Table 5 Dark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882">
    <w:name w:val="Grid Table 5 Dark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883">
    <w:name w:val="Grid Table 5 Dark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884">
    <w:name w:val="Grid Table 6 Colorful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5">
    <w:name w:val="Grid Table 6 Colorful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6">
    <w:name w:val="Grid Table 6 Colorful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7">
    <w:name w:val="Grid Table 6 Colorful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88">
    <w:name w:val="Grid Table 6 Colorful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89">
    <w:name w:val="Grid Table 6 Colorful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0">
    <w:name w:val="Grid Table 6 Colorful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1">
    <w:name w:val="Grid Table 7 Colorful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2">
    <w:name w:val="Grid Table 7 Colorful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3">
    <w:name w:val="Grid Table 7 Colorful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4">
    <w:name w:val="Grid Table 7 Colorful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5">
    <w:name w:val="Grid Table 7 Colorful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6">
    <w:name w:val="Grid Table 7 Colorful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7">
    <w:name w:val="Grid Table 7 Colorful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8">
    <w:name w:val="List Table 1 Light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6">
    <w:name w:val="List Table 2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7">
    <w:name w:val="List Table 2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8">
    <w:name w:val="List Table 2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9">
    <w:name w:val="List Table 2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0">
    <w:name w:val="List Table 2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1">
    <w:name w:val="List Table 2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2">
    <w:name w:val="List Table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5 Dark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7">
    <w:name w:val="List Table 5 Dark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8">
    <w:name w:val="List Table 5 Dark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9">
    <w:name w:val="List Table 5 Dark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0">
    <w:name w:val="List Table 5 Dark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5 Dark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2">
    <w:name w:val="List Table 5 Dark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6 Colorful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4">
    <w:name w:val="List Table 6 Colorful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5">
    <w:name w:val="List Table 6 Colorful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6">
    <w:name w:val="List Table 6 Colorful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7">
    <w:name w:val="List Table 6 Colorful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8">
    <w:name w:val="List Table 6 Colorful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9">
    <w:name w:val="List Table 6 Colorful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0">
    <w:name w:val="List Table 7 Colorful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1">
    <w:name w:val="List Table 7 Colorful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942">
    <w:name w:val="List Table 7 Colorful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943">
    <w:name w:val="List Table 7 Colorful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944">
    <w:name w:val="List Table 7 Colorful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945">
    <w:name w:val="List Table 7 Colorful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946">
    <w:name w:val="List Table 7 Colorful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947">
    <w:name w:val="Lined - Accent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8">
    <w:name w:val="Lined - Accent 1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9">
    <w:name w:val="Lined - Accent 2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50">
    <w:name w:val="Lined - Accent 3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51">
    <w:name w:val="Lined - Accent 4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2">
    <w:name w:val="Lined - Accent 5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3">
    <w:name w:val="Lined - Accent 6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4">
    <w:name w:val="Bordered &amp; Lined - Accent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5">
    <w:name w:val="Bordered &amp; Lined - Accent 1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56">
    <w:name w:val="Bordered &amp; Lined - Accent 2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57">
    <w:name w:val="Bordered &amp; Lined - Accent 3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58">
    <w:name w:val="Bordered &amp; Lined - Accent 4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9">
    <w:name w:val="Bordered &amp; Lined - Accent 5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60">
    <w:name w:val="Bordered &amp; Lined - Accent 6"/>
    <w:basedOn w:val="9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61">
    <w:name w:val="Bordered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2">
    <w:name w:val="Bordered - Accent 1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3">
    <w:name w:val="Bordered - Accent 2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4">
    <w:name w:val="Bordered - Accent 3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5">
    <w:name w:val="Bordered - Accent 4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6">
    <w:name w:val="Bordered - Accent 5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7">
    <w:name w:val="Bordered - Accent 6"/>
    <w:basedOn w:val="9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8">
    <w:name w:val="Footnote Text Char"/>
    <w:link w:val="998"/>
    <w:uiPriority w:val="99"/>
    <w:rPr>
      <w:sz w:val="18"/>
    </w:rPr>
  </w:style>
  <w:style w:type="character" w:styleId="969">
    <w:name w:val="Endnote Text Char"/>
    <w:link w:val="1002"/>
    <w:uiPriority w:val="99"/>
    <w:rPr>
      <w:sz w:val="20"/>
    </w:rPr>
  </w:style>
  <w:style w:type="paragraph" w:styleId="970">
    <w:name w:val="toc 1"/>
    <w:basedOn w:val="981"/>
    <w:next w:val="981"/>
    <w:uiPriority w:val="39"/>
    <w:unhideWhenUsed/>
    <w:pPr>
      <w:spacing w:after="57"/>
      <w:ind w:left="0" w:right="0" w:firstLine="0"/>
    </w:pPr>
  </w:style>
  <w:style w:type="paragraph" w:styleId="971">
    <w:name w:val="toc 2"/>
    <w:basedOn w:val="981"/>
    <w:next w:val="981"/>
    <w:uiPriority w:val="39"/>
    <w:unhideWhenUsed/>
    <w:pPr>
      <w:spacing w:after="57"/>
      <w:ind w:left="283" w:right="0" w:firstLine="0"/>
    </w:pPr>
  </w:style>
  <w:style w:type="paragraph" w:styleId="972">
    <w:name w:val="toc 3"/>
    <w:basedOn w:val="981"/>
    <w:next w:val="981"/>
    <w:uiPriority w:val="39"/>
    <w:unhideWhenUsed/>
    <w:pPr>
      <w:spacing w:after="57"/>
      <w:ind w:left="567" w:right="0" w:firstLine="0"/>
    </w:pPr>
  </w:style>
  <w:style w:type="paragraph" w:styleId="973">
    <w:name w:val="toc 4"/>
    <w:basedOn w:val="981"/>
    <w:next w:val="981"/>
    <w:uiPriority w:val="39"/>
    <w:unhideWhenUsed/>
    <w:pPr>
      <w:spacing w:after="57"/>
      <w:ind w:left="850" w:right="0" w:firstLine="0"/>
    </w:pPr>
  </w:style>
  <w:style w:type="paragraph" w:styleId="974">
    <w:name w:val="toc 5"/>
    <w:basedOn w:val="981"/>
    <w:next w:val="981"/>
    <w:uiPriority w:val="39"/>
    <w:unhideWhenUsed/>
    <w:pPr>
      <w:spacing w:after="57"/>
      <w:ind w:left="1134" w:right="0" w:firstLine="0"/>
    </w:pPr>
  </w:style>
  <w:style w:type="paragraph" w:styleId="975">
    <w:name w:val="toc 6"/>
    <w:basedOn w:val="981"/>
    <w:next w:val="981"/>
    <w:uiPriority w:val="39"/>
    <w:unhideWhenUsed/>
    <w:pPr>
      <w:spacing w:after="57"/>
      <w:ind w:left="1417" w:right="0" w:firstLine="0"/>
    </w:pPr>
  </w:style>
  <w:style w:type="paragraph" w:styleId="976">
    <w:name w:val="toc 7"/>
    <w:basedOn w:val="981"/>
    <w:next w:val="981"/>
    <w:uiPriority w:val="39"/>
    <w:unhideWhenUsed/>
    <w:pPr>
      <w:spacing w:after="57"/>
      <w:ind w:left="1701" w:right="0" w:firstLine="0"/>
    </w:pPr>
  </w:style>
  <w:style w:type="paragraph" w:styleId="977">
    <w:name w:val="toc 8"/>
    <w:basedOn w:val="981"/>
    <w:next w:val="981"/>
    <w:uiPriority w:val="39"/>
    <w:unhideWhenUsed/>
    <w:pPr>
      <w:spacing w:after="57"/>
      <w:ind w:left="1984" w:right="0" w:firstLine="0"/>
    </w:pPr>
  </w:style>
  <w:style w:type="paragraph" w:styleId="978">
    <w:name w:val="toc 9"/>
    <w:basedOn w:val="981"/>
    <w:next w:val="981"/>
    <w:uiPriority w:val="39"/>
    <w:unhideWhenUsed/>
    <w:pPr>
      <w:spacing w:after="57"/>
      <w:ind w:left="2268" w:right="0" w:firstLine="0"/>
    </w:pPr>
  </w:style>
  <w:style w:type="paragraph" w:styleId="979">
    <w:name w:val="TOC Heading"/>
    <w:uiPriority w:val="39"/>
    <w:unhideWhenUsed/>
  </w:style>
  <w:style w:type="paragraph" w:styleId="980">
    <w:name w:val="table of figures"/>
    <w:basedOn w:val="981"/>
    <w:next w:val="981"/>
    <w:uiPriority w:val="99"/>
    <w:unhideWhenUsed/>
    <w:pPr>
      <w:spacing w:after="0" w:afterAutospacing="0"/>
    </w:pPr>
  </w:style>
  <w:style w:type="paragraph" w:styleId="981" w:default="1">
    <w:name w:val="Normal"/>
    <w:qFormat/>
    <w:pPr>
      <w:shd w:val="clear" w:color="auto" w:fill="ffffff"/>
      <w:spacing w:after="0" w:line="360" w:lineRule="auto"/>
      <w:ind w:firstLine="709"/>
      <w:contextualSpacing/>
      <w:jc w:val="both"/>
    </w:pPr>
    <w:rPr>
      <w:rFonts w:ascii="Times New Roman" w:hAnsi="Times New Roman" w:cs="Times New Roman"/>
      <w:color w:val="000000"/>
      <w:sz w:val="28"/>
      <w:szCs w:val="28"/>
      <w:lang w:eastAsia="ru-RU"/>
    </w:rPr>
  </w:style>
  <w:style w:type="paragraph" w:styleId="982">
    <w:name w:val="Heading 1"/>
    <w:basedOn w:val="981"/>
    <w:link w:val="98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sz w:val="48"/>
      <w:szCs w:val="48"/>
      <w:lang w:eastAsia="ru-RU"/>
    </w:rPr>
  </w:style>
  <w:style w:type="character" w:styleId="983" w:default="1">
    <w:name w:val="Default Paragraph Font"/>
    <w:uiPriority w:val="1"/>
    <w:semiHidden/>
    <w:unhideWhenUsed/>
  </w:style>
  <w:style w:type="table" w:styleId="98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5" w:default="1">
    <w:name w:val="No List"/>
    <w:uiPriority w:val="99"/>
    <w:semiHidden/>
    <w:unhideWhenUsed/>
  </w:style>
  <w:style w:type="character" w:styleId="986" w:customStyle="1">
    <w:name w:val="Заголовок 1 Знак"/>
    <w:basedOn w:val="983"/>
    <w:link w:val="982"/>
    <w:uiPriority w:val="9"/>
    <w:rPr>
      <w:rFonts w:ascii="Times New Roman" w:hAnsi="Times New Roman" w:cs="Times New Roman"/>
      <w:b/>
      <w:bCs/>
      <w:sz w:val="48"/>
      <w:szCs w:val="48"/>
      <w:lang w:eastAsia="ru-RU"/>
    </w:rPr>
  </w:style>
  <w:style w:type="character" w:styleId="987">
    <w:name w:val="Hyperlink"/>
    <w:basedOn w:val="983"/>
    <w:uiPriority w:val="99"/>
    <w:semiHidden/>
    <w:unhideWhenUsed/>
    <w:rPr>
      <w:rFonts w:cs="Times New Roman"/>
      <w:color w:val="0000ff"/>
      <w:u w:val="single"/>
    </w:rPr>
  </w:style>
  <w:style w:type="character" w:styleId="988" w:customStyle="1">
    <w:name w:val="blk"/>
    <w:basedOn w:val="983"/>
    <w:rPr>
      <w:rFonts w:cs="Times New Roman"/>
    </w:rPr>
  </w:style>
  <w:style w:type="character" w:styleId="989" w:customStyle="1">
    <w:name w:val="apple-converted-space"/>
    <w:basedOn w:val="983"/>
    <w:rPr>
      <w:rFonts w:cs="Times New Roman"/>
    </w:rPr>
  </w:style>
  <w:style w:type="paragraph" w:styleId="990">
    <w:name w:val="Header"/>
    <w:basedOn w:val="981"/>
    <w:link w:val="991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991" w:customStyle="1">
    <w:name w:val="Верхний колонтитул Знак"/>
    <w:basedOn w:val="983"/>
    <w:link w:val="990"/>
    <w:uiPriority w:val="99"/>
    <w:rPr>
      <w:rFonts w:cs="Times New Roman"/>
    </w:rPr>
  </w:style>
  <w:style w:type="paragraph" w:styleId="992">
    <w:name w:val="Footer"/>
    <w:basedOn w:val="981"/>
    <w:link w:val="993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993" w:customStyle="1">
    <w:name w:val="Нижний колонтитул Знак"/>
    <w:basedOn w:val="983"/>
    <w:link w:val="992"/>
    <w:uiPriority w:val="99"/>
    <w:rPr>
      <w:rFonts w:cs="Times New Roman"/>
    </w:rPr>
  </w:style>
  <w:style w:type="paragraph" w:styleId="994">
    <w:name w:val="List Paragraph"/>
    <w:basedOn w:val="981"/>
    <w:uiPriority w:val="34"/>
    <w:qFormat/>
    <w:pPr>
      <w:ind w:left="720"/>
      <w:contextualSpacing/>
    </w:pPr>
  </w:style>
  <w:style w:type="paragraph" w:styleId="995">
    <w:name w:val="Balloon Text"/>
    <w:basedOn w:val="981"/>
    <w:link w:val="99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96" w:customStyle="1">
    <w:name w:val="Текст выноски Знак"/>
    <w:basedOn w:val="983"/>
    <w:link w:val="995"/>
    <w:uiPriority w:val="99"/>
    <w:semiHidden/>
    <w:rPr>
      <w:rFonts w:ascii="Tahoma" w:hAnsi="Tahoma" w:cs="Tahoma"/>
      <w:sz w:val="16"/>
      <w:szCs w:val="16"/>
    </w:rPr>
  </w:style>
  <w:style w:type="table" w:styleId="997">
    <w:name w:val="Table Grid"/>
    <w:basedOn w:val="984"/>
    <w:uiPriority w:val="59"/>
    <w:rPr>
      <w:rFonts w:ascii="Times New Roman" w:hAnsi="Times New Roman" w:cs="Times New Roma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8">
    <w:name w:val="footnote text"/>
    <w:basedOn w:val="981"/>
    <w:link w:val="999"/>
    <w:uiPriority w:val="99"/>
    <w:unhideWhenUsed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  <w:lang w:eastAsia="ru-RU"/>
    </w:rPr>
  </w:style>
  <w:style w:type="character" w:styleId="999" w:customStyle="1">
    <w:name w:val="Текст сноски Знак"/>
    <w:basedOn w:val="983"/>
    <w:link w:val="998"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styleId="1000">
    <w:name w:val="footnote reference"/>
    <w:basedOn w:val="983"/>
    <w:uiPriority w:val="99"/>
    <w:semiHidden/>
    <w:unhideWhenUsed/>
    <w:rPr>
      <w:rFonts w:cs="Times New Roman"/>
      <w:vertAlign w:val="superscript"/>
    </w:rPr>
  </w:style>
  <w:style w:type="paragraph" w:styleId="1001" w:customStyle="1">
    <w:name w:val="14-15"/>
    <w:basedOn w:val="981"/>
    <w:pPr>
      <w:spacing w:after="0" w:line="360" w:lineRule="auto"/>
      <w:ind w:firstLine="720"/>
      <w:jc w:val="both"/>
    </w:pPr>
    <w:rPr>
      <w:rFonts w:ascii="Times New Roman CYR" w:hAnsi="Times New Roman CYR"/>
      <w:spacing w:val="4"/>
      <w:sz w:val="28"/>
      <w:szCs w:val="20"/>
      <w:lang w:eastAsia="ru-RU"/>
    </w:rPr>
  </w:style>
  <w:style w:type="paragraph" w:styleId="1002">
    <w:name w:val="endnote text"/>
    <w:basedOn w:val="981"/>
    <w:link w:val="1003"/>
    <w:uiPriority w:val="99"/>
    <w:semiHidden/>
    <w:unhideWhenUsed/>
    <w:rPr>
      <w:sz w:val="20"/>
      <w:szCs w:val="20"/>
    </w:rPr>
  </w:style>
  <w:style w:type="character" w:styleId="1003" w:customStyle="1">
    <w:name w:val="Текст концевой сноски Знак"/>
    <w:basedOn w:val="983"/>
    <w:link w:val="1002"/>
    <w:uiPriority w:val="99"/>
    <w:semiHidden/>
    <w:rPr>
      <w:rFonts w:cs="Times New Roman"/>
      <w:lang w:eastAsia="en-US"/>
    </w:rPr>
  </w:style>
  <w:style w:type="character" w:styleId="1004">
    <w:name w:val="endnote reference"/>
    <w:basedOn w:val="983"/>
    <w:uiPriority w:val="99"/>
    <w:semiHidden/>
    <w:unhideWhenUsed/>
    <w:rPr>
      <w:rFonts w:cs="Times New Roman"/>
      <w:vertAlign w:val="superscript"/>
    </w:rPr>
  </w:style>
  <w:style w:type="paragraph" w:styleId="1005">
    <w:name w:val="Body Text"/>
    <w:basedOn w:val="981"/>
    <w:link w:val="1006"/>
    <w:uiPriority w:val="99"/>
    <w:pPr>
      <w:spacing w:after="0" w:line="240" w:lineRule="auto"/>
      <w:jc w:val="center"/>
    </w:pPr>
    <w:rPr>
      <w:rFonts w:ascii="Times New Roman CYR" w:hAnsi="Times New Roman CYR"/>
      <w:b/>
      <w:sz w:val="34"/>
      <w:szCs w:val="20"/>
      <w:lang w:eastAsia="ru-RU"/>
    </w:rPr>
  </w:style>
  <w:style w:type="character" w:styleId="1006" w:customStyle="1">
    <w:name w:val="Основной текст Знак"/>
    <w:basedOn w:val="983"/>
    <w:link w:val="1005"/>
    <w:uiPriority w:val="99"/>
    <w:rPr>
      <w:rFonts w:ascii="Times New Roman CYR" w:hAnsi="Times New Roman CYR" w:cs="Times New Roman"/>
      <w:b/>
      <w:sz w:val="34"/>
    </w:rPr>
  </w:style>
  <w:style w:type="paragraph" w:styleId="1007" w:customStyle="1">
    <w:name w:val="ConsPlusNormal"/>
    <w:pPr>
      <w:widowControl w:val="off"/>
    </w:pPr>
    <w:rPr>
      <w:sz w:val="22"/>
    </w:rPr>
  </w:style>
  <w:style w:type="paragraph" w:styleId="1008" w:customStyle="1">
    <w:name w:val="Body Text Indent 3"/>
    <w:pPr>
      <w:keepNext w:val="0"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240" w:lineRule="auto"/>
      <w:ind w:left="0" w:right="0" w:firstLine="851"/>
      <w:contextualSpacing w:val="0"/>
      <w:jc w:val="both"/>
    </w:pPr>
    <w:rPr>
      <w:rFonts w:ascii="Times New Roman CYR" w:hAnsi="Times New Roman CYR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image" Target="media/image1.png"/><Relationship Id="rId16" Type="http://schemas.openxmlformats.org/officeDocument/2006/relationships/image" Target="media/media1.svg"/><Relationship Id="rId17" Type="http://schemas.openxmlformats.org/officeDocument/2006/relationships/hyperlink" Target="https://login.consultant.ru/link/?req=doc&amp;base=LAW&amp;n=523288&amp;dst=100260&amp;field=134&amp;date=22.04.2026" TargetMode="External"/><Relationship Id="rId18" Type="http://schemas.openxmlformats.org/officeDocument/2006/relationships/hyperlink" Target="https://login.consultant.ru/link/?req=doc&amp;base=LAW&amp;n=523288&amp;dst=100482&amp;field=134&amp;date=22.04.2026" TargetMode="External"/><Relationship Id="rId19" Type="http://schemas.openxmlformats.org/officeDocument/2006/relationships/hyperlink" Target="https://login.consultant.ru/link/?req=doc&amp;base=LAW&amp;n=523288&amp;dst=102827&amp;field=134&amp;date=23.04.2026" TargetMode="External"/><Relationship Id="rId20" Type="http://schemas.openxmlformats.org/officeDocument/2006/relationships/hyperlink" Target="https://login.consultant.ru/link/?req=doc&amp;base=LAW&amp;n=503698&amp;dst=100051&amp;field=134&amp;date=23.04.202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BC340-9AA3-4AB5-AA57-93416249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e.n.kosenok</cp:lastModifiedBy>
  <cp:revision>139</cp:revision>
  <dcterms:created xsi:type="dcterms:W3CDTF">2025-03-20T08:33:00Z</dcterms:created>
  <dcterms:modified xsi:type="dcterms:W3CDTF">2026-05-20T11:58:07Z</dcterms:modified>
</cp:coreProperties>
</file>