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7ED" w:rsidRDefault="006357E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357ED" w:rsidRDefault="006357E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6357E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357ED" w:rsidRDefault="006357ED">
            <w:pPr>
              <w:pStyle w:val="ConsPlusNormal"/>
            </w:pPr>
            <w:r>
              <w:t>7 мая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357ED" w:rsidRDefault="006357ED">
            <w:pPr>
              <w:pStyle w:val="ConsPlusNormal"/>
              <w:jc w:val="right"/>
            </w:pPr>
            <w:r>
              <w:t>N 204</w:t>
            </w:r>
          </w:p>
        </w:tc>
      </w:tr>
    </w:tbl>
    <w:p w:rsidR="006357ED" w:rsidRDefault="006357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57ED" w:rsidRDefault="006357ED">
      <w:pPr>
        <w:pStyle w:val="ConsPlusNormal"/>
        <w:jc w:val="both"/>
      </w:pPr>
    </w:p>
    <w:p w:rsidR="006357ED" w:rsidRDefault="006357ED">
      <w:pPr>
        <w:pStyle w:val="ConsPlusTitle"/>
        <w:jc w:val="center"/>
      </w:pPr>
      <w:r>
        <w:t>УКАЗ</w:t>
      </w:r>
    </w:p>
    <w:p w:rsidR="006357ED" w:rsidRDefault="006357ED">
      <w:pPr>
        <w:pStyle w:val="ConsPlusTitle"/>
        <w:jc w:val="both"/>
      </w:pPr>
    </w:p>
    <w:p w:rsidR="006357ED" w:rsidRDefault="006357ED">
      <w:pPr>
        <w:pStyle w:val="ConsPlusTitle"/>
        <w:jc w:val="center"/>
      </w:pPr>
      <w:r>
        <w:t>ПРЕЗИДЕНТА РОССИЙСКОЙ ФЕДЕРАЦИИ</w:t>
      </w:r>
    </w:p>
    <w:p w:rsidR="006357ED" w:rsidRDefault="006357ED">
      <w:pPr>
        <w:pStyle w:val="ConsPlusTitle"/>
        <w:jc w:val="both"/>
      </w:pPr>
    </w:p>
    <w:p w:rsidR="006357ED" w:rsidRDefault="006357ED">
      <w:pPr>
        <w:pStyle w:val="ConsPlusTitle"/>
        <w:jc w:val="center"/>
      </w:pPr>
      <w:r>
        <w:t>О НАЦИОНАЛЬНЫХ ЦЕЛЯХ И СТРАТЕГИЧЕСКИХ ЗАДАЧАХ</w:t>
      </w:r>
    </w:p>
    <w:p w:rsidR="006357ED" w:rsidRDefault="006357ED">
      <w:pPr>
        <w:pStyle w:val="ConsPlusTitle"/>
        <w:jc w:val="center"/>
      </w:pPr>
      <w:r>
        <w:t>РАЗВИТИЯ РОССИЙСКОЙ ФЕДЕРАЦИИ НА ПЕРИОД ДО 2024 ГОДА</w:t>
      </w:r>
    </w:p>
    <w:p w:rsidR="006357ED" w:rsidRDefault="006357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357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7ED" w:rsidRDefault="006357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7ED" w:rsidRDefault="006357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57ED" w:rsidRDefault="006357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57ED" w:rsidRDefault="006357E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19.07.2018 </w:t>
            </w:r>
            <w:hyperlink r:id="rId5">
              <w:r>
                <w:rPr>
                  <w:color w:val="0000FF"/>
                </w:rPr>
                <w:t>N 444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357ED" w:rsidRDefault="006357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21.07.2020 </w:t>
            </w:r>
            <w:hyperlink r:id="rId6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7ED" w:rsidRDefault="006357ED">
            <w:pPr>
              <w:pStyle w:val="ConsPlusNormal"/>
            </w:pPr>
          </w:p>
        </w:tc>
      </w:tr>
    </w:tbl>
    <w:p w:rsidR="006357ED" w:rsidRDefault="006357ED">
      <w:pPr>
        <w:pStyle w:val="ConsPlusNormal"/>
        <w:jc w:val="both"/>
      </w:pPr>
    </w:p>
    <w:p w:rsidR="006357ED" w:rsidRDefault="006357ED">
      <w:pPr>
        <w:pStyle w:val="ConsPlusNormal"/>
        <w:ind w:firstLine="540"/>
        <w:jc w:val="both"/>
      </w:pPr>
      <w:r>
        <w:t>В целях осуществления прорывного научно-технологического и социально-экономического развития Российской Федерации, увеличения численности населения страны, повышения уровня жизни граждан, создания комфортных условий для их проживания, а также условий и возможностей для самореализации и раскрытия таланта каждого человека постановляю:</w:t>
      </w:r>
    </w:p>
    <w:p w:rsidR="006357ED" w:rsidRDefault="006357ED">
      <w:pPr>
        <w:pStyle w:val="ConsPlusNormal"/>
        <w:spacing w:before="220"/>
        <w:ind w:firstLine="540"/>
        <w:jc w:val="both"/>
      </w:pPr>
      <w:bookmarkStart w:id="0" w:name="P15"/>
      <w:bookmarkEnd w:id="0"/>
      <w:r>
        <w:t xml:space="preserve">1. Утратил силу. - </w:t>
      </w:r>
      <w:hyperlink r:id="rId7">
        <w:r>
          <w:rPr>
            <w:color w:val="0000FF"/>
          </w:rPr>
          <w:t>Указ</w:t>
        </w:r>
      </w:hyperlink>
      <w:r>
        <w:t xml:space="preserve"> Президента РФ от 21.07.2020 N 474.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2. Правительству Российской Федерации: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 xml:space="preserve">а) утвердить до 1 октября 2018 г. </w:t>
      </w:r>
      <w:hyperlink r:id="rId8">
        <w:r>
          <w:rPr>
            <w:color w:val="0000FF"/>
          </w:rPr>
          <w:t>Основные направления</w:t>
        </w:r>
      </w:hyperlink>
      <w:r>
        <w:t xml:space="preserve"> деятельности Правительства Российской Федерации на период до 2024 года и </w:t>
      </w:r>
      <w:hyperlink r:id="rId9">
        <w:r>
          <w:rPr>
            <w:color w:val="0000FF"/>
          </w:rPr>
          <w:t>прогноз</w:t>
        </w:r>
      </w:hyperlink>
      <w:r>
        <w:t xml:space="preserve"> социально-экономического развития Российской Федерации на период до 2024 года, предусмотрев механизмы и ресурсное обеспечение достижения национальных целей, определенных </w:t>
      </w:r>
      <w:hyperlink w:anchor="P15">
        <w:r>
          <w:rPr>
            <w:color w:val="0000FF"/>
          </w:rPr>
          <w:t>пунктом 1</w:t>
        </w:r>
      </w:hyperlink>
      <w:r>
        <w:t xml:space="preserve"> настоящего Указа;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 xml:space="preserve">б) в соответствии с национальными целями, определенными </w:t>
      </w:r>
      <w:hyperlink w:anchor="P15">
        <w:r>
          <w:rPr>
            <w:color w:val="0000FF"/>
          </w:rPr>
          <w:t>пунктом 1</w:t>
        </w:r>
      </w:hyperlink>
      <w:r>
        <w:t xml:space="preserve"> настоящего Указа, разработать (скорректировать) совместно с органами государственной власти субъектов Российской Федерации и представить до 1 октября 2018 г. для рассмотрения на заседании Совета при Президенте Российской Федерации по стратегическому развитию и национальным проектам национальные </w:t>
      </w:r>
      <w:hyperlink r:id="rId10">
        <w:r>
          <w:rPr>
            <w:color w:val="0000FF"/>
          </w:rPr>
          <w:t>проекты</w:t>
        </w:r>
      </w:hyperlink>
      <w:r>
        <w:t xml:space="preserve"> (программы) по следующим направлениям:</w:t>
      </w:r>
    </w:p>
    <w:p w:rsidR="006357ED" w:rsidRDefault="006357ED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Указа</w:t>
        </w:r>
      </w:hyperlink>
      <w:r>
        <w:t xml:space="preserve"> Президента РФ от 19.07.2018 N 444)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демография;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здравоохранение;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образование;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жилье и городская среда;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экология;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безопасные и качественные автомобильные дороги;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производительность труда и поддержка занятости;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наука;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цифровая экономика;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lastRenderedPageBreak/>
        <w:t>культура;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малое и среднее предпринимательство и поддержка индивидуальной предпринимательской инициативы;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международная кооперация и экспорт.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3. Правительству Российской Федерации при разработке национальной программы в сфере демографического развития исходить из того, что в 2024 году необходимо обеспечить: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увеличение ожидаемой продолжительности здоровой жизни до 67 лет;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увеличение суммарного коэффициента рождаемости до 1,7;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увеличение доли граждан, ведущих здоровый образ жизни, а также увеличение до 55 процентов доли граждан, систематически занимающихся физической культурой и спортом;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внедрение механизма финансовой поддержки семей при рождении детей;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создание условий для осуществления трудовой деятельности женщин, имеющих детей, включая достижение 100-процентной доступности (к 2021 году) дошкольного образования для детей в возрасте до трех лет;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разработка и реализация программы системной поддержки и повышения качества жизни граждан старшего поколения;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формирование системы мотивации граждан к здоровому образу жизни, включая здоровое питание и отказ от вредных привычек;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резерва.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4. Правительству Российской Федерации при разработке национального проекта в сфере здравоохранения исходить из того, что в 2024 году необходимо обеспечить: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снижение показателей смертности населения трудоспособного возраста (до 350 случаев на 100 тыс. населения), смертности от болезней системы кровообращения (до 450 случаев на 100 тыс. населения), смертности от новообразований, в том числе от злокачественных (до 185 случаев на 100 тыс. населения), младенческой смертности (до 4,5 случая на 1 тыс. родившихся детей);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ликвидация кадрового дефицита в медицинских организациях, оказывающих первичную медико-санитарную помощь;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обеспечение охвата всех граждан профилактическими медицинскими осмотрами не реже одного раза в год;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обеспечение оптимальной доступности для населения (в том числе для жителей населенных пунктов, расположенных в отдаленных местностях) медицинских организаций, оказывающих первичную медико-санитарную помощь;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lastRenderedPageBreak/>
        <w:t>оптимизация работы медицинских организаций, оказывающих первичную медико-санитарную помощь, сокращение времени ожидания в очереди при обращении граждан в указанные медицинские организации, упрощение процедуры записи на прием к врачу;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увеличение объема экспорта медицинских услуг не менее чем в четыре раза по сравнению с 2017 годом (до 1 млрд. долларов США в год);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6357ED" w:rsidRDefault="006357ED">
      <w:pPr>
        <w:pStyle w:val="ConsPlusNormal"/>
        <w:spacing w:before="220"/>
        <w:ind w:firstLine="540"/>
        <w:jc w:val="both"/>
      </w:pPr>
      <w:proofErr w:type="gramStart"/>
      <w:r>
        <w:t>завершение формирования сети медицинских организаций первичного звена здравоохранения с использованием в сфере здравоохранения геоинформационной системы с учетом необходимости строительства врачебных амбулаторий, фельдшерских и фельдшерско-акушерских пунктов в населенных пунктах с численностью населения от 100 человек до 2 тыс. человек, а также с учетом использования мобильных медицинских комплексов в населенных пунктах с численностью населения менее 100 человек;</w:t>
      </w:r>
      <w:proofErr w:type="gramEnd"/>
    </w:p>
    <w:p w:rsidR="006357ED" w:rsidRDefault="006357ED">
      <w:pPr>
        <w:pStyle w:val="ConsPlusNormal"/>
        <w:spacing w:before="220"/>
        <w:ind w:firstLine="540"/>
        <w:jc w:val="both"/>
      </w:pPr>
      <w:r>
        <w:t>завершение формирования сети национальных медицинских исследовательских центров;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создание механизмов взаимодействия медицинских организаций на основе единой государственной информационной системы в сфере здравоохранения;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внедрение инновационных медицинских технологий, включая систему ранней диагностики и дистанционный мониторинг состояния здоровья пациентов;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обеспечение медицинских организаций системы здравоохранения квалифицированными кадрами, включая внедрение системы непрерывного образования медицинских работников, в том числе с использованием дистанционных образовательных технологий;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 xml:space="preserve">внедрение </w:t>
      </w:r>
      <w:hyperlink r:id="rId12">
        <w:r>
          <w:rPr>
            <w:color w:val="0000FF"/>
          </w:rPr>
          <w:t>клинических рекомендаций</w:t>
        </w:r>
      </w:hyperlink>
      <w:r>
        <w:t xml:space="preserve"> и протоколов лечения и их использование в целях формирования тарифов на оплату медицинской помощи;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 xml:space="preserve">разработка и реализация программ борьбы с онкологическими заболеваниями, </w:t>
      </w:r>
      <w:proofErr w:type="gramStart"/>
      <w:r>
        <w:t>сердечно-сосудистыми</w:t>
      </w:r>
      <w:proofErr w:type="gramEnd"/>
      <w:r>
        <w:t xml:space="preserve"> заболеваниями, развития детского здравоохранения, включая создание современной инфраструктуры оказания медицинской помощи детям;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формирование системы защиты прав пациентов;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совершенствование механизма экспорта медицинских услуг.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5. Правительству Российской Федерации при разработке национального проекта в сфере образования исходить из того, что в 2024 году необходимо обеспечить: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 xml:space="preserve"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</w:t>
      </w:r>
      <w:r>
        <w:lastRenderedPageBreak/>
        <w:t>обучения предметной области "Технология";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создание условий для раннего развития детей в возрасте до трех лет, реализация программы психолого-педагогической, методической и консультативной помощи родителям детей, получающих дошкольное образование в семье;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 xml:space="preserve">внедрение национальной </w:t>
      </w:r>
      <w:hyperlink r:id="rId13">
        <w:r>
          <w:rPr>
            <w:color w:val="0000FF"/>
          </w:rPr>
          <w:t>системы</w:t>
        </w:r>
      </w:hyperlink>
      <w:r>
        <w:t xml:space="preserve"> профессионального роста педагогических работников, охватывающей не менее 50 процентов учителей общеобразовательных организаций;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модернизация профессионального образования, в том числе посредством внедрения адаптивных, практико-ориентированных и гибких образовательных программ;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навыков, включая овладение компетенциями в области цифровой экономики всеми желающими;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формирование системы профессиональных конкурсов в целях предоставления гражданам возможностей для профессионального и карьерного роста;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создание условий для развития наставничества, поддержки общественных инициатив и проектов, в том числе в сфере добровольчества (волонтерства);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увеличение не менее чем в два раза количества иностранных граждан, обучающихся в образовательных организациях высшего образования и научных организациях, а также реализация комплекса мер по трудоустройству лучших из них в Российской Федерации.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6. Правительству Российской Федерации при разработке национального проекта в сфере жилья и городской среды исходить из того, что в 2024 году необходимо обеспечить: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обеспечение доступным жильем семей со средним достатком, в том числе создание возможностей для приобретения (строительства) ими жилья с использованием ипотечного кредита, ставка по которому должна быть менее 8 процентов;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увеличение объема жилищного строительства не менее чем до 120 млн. квадратных метров в год;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кардинальное повышение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неблагоприятной средой в два раза;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обеспечение устойчивого сокращения непригодного для проживания жилищного фонда;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lastRenderedPageBreak/>
        <w:t>совершенствование механизмов финансирования жилищного строительства, в том числе посредством развития рынка ипотечных ценных бумаг и поэтапного перехода от привлечения денежных сре</w:t>
      </w:r>
      <w:proofErr w:type="gramStart"/>
      <w:r>
        <w:t>дств дл</w:t>
      </w:r>
      <w:proofErr w:type="gramEnd"/>
      <w:r>
        <w:t>я долевого строительства многоквартирных домов и иных объектов недвижимости к другим формам финансирования жилищного строительства, обеспечивающим защиту прав граждан и снижение рисков для них;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модернизация строительной отрасли и повышение качества индустриального жилищного строительства, в том числе посредством установления ограничений на использование устаревших технологий и стимулирования внедрения передовых технологий в проектировании и строительстве, совершенствование механизмов государственной поддержки строительства стандартного жилья;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снижение административной нагрузки на застройщиков, совершенствование нормативно-правовой базы и порядка регулирования деятельности в сфере жилищного строительства;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обеспечение эффективного использования земель в целях массового жилищного строительства при условии сохранения и развития зеленого фонда и территорий, на которых располагаются природные объекты, имеющие экологическое, историко-культурное, рекреационное, оздоровительное и иное ценное значение;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создание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Федерации.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7. Правительству Российской Федерации при разработке национального проекта в сфере экологии исходить из того, что в 2024 году необходимо обеспечить: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эффективное обращение с отходами производства и потребления, включая ликвидацию всех выявленных на 1 января 2018 г. несанкционированных свалок в границах городов;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кардинальное снижение уровня загрязнения атмосферного воздуха в крупных промышленных центрах, в том числе уменьшение не менее чем на 20 процентов совокупного объема выбросов загрязняющих веществ в атмосферный воздух в наиболее загрязненных городах;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повышение качества питьевой воды для населения, в том числе для жителей населенных пунктов, не оборудованных современными системами централизованного водоснабжения;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экологическое оздоровление водных объектов, включая реку Волгу, и сохранение уникальных водных систем, включая озера Байкал и Телецкое;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сохранение биологического разнообразия, в том числе посредством создания не менее 24 новых особо охраняемых природных территорий;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6357ED" w:rsidRDefault="006357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357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7ED" w:rsidRDefault="006357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7ED" w:rsidRDefault="006357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57ED" w:rsidRDefault="006357E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357ED" w:rsidRDefault="006357ED">
            <w:pPr>
              <w:pStyle w:val="ConsPlusNormal"/>
              <w:jc w:val="both"/>
            </w:pPr>
            <w:hyperlink r:id="rId14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Президента РФ от 14.01.2019 N 8 создана публично-правовая компания по формированию комплексной системы обращения с ТКО "Российский экологический оператор".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7ED" w:rsidRDefault="006357ED">
            <w:pPr>
              <w:pStyle w:val="ConsPlusNormal"/>
            </w:pPr>
          </w:p>
        </w:tc>
      </w:tr>
    </w:tbl>
    <w:p w:rsidR="006357ED" w:rsidRDefault="006357ED">
      <w:pPr>
        <w:pStyle w:val="ConsPlusNormal"/>
        <w:spacing w:before="280"/>
        <w:ind w:firstLine="540"/>
        <w:jc w:val="both"/>
      </w:pPr>
      <w:r>
        <w:lastRenderedPageBreak/>
        <w:t>формирование комплексной системы обращения с твердыми коммунальными отходами, включая ликвидацию свалок и рекультивацию территорий, на которых они размещены, создание условий для вторичной переработки всех запрещенных к захоронению отходов производства и потребления;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создание и эффективное функционирование во всех субъектах Российской Федерации системы общественного контроля, направленной на выявление и ликвидацию несанкционированных свалок;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создание современной инфраструктуры, обеспечивающей безопасное обращение с отходами I и II классов опасности, и ликвидация наиболее опасных объектов накопленного экологического вреда;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реализация комплексных планов мероприятий по снижению выбросов загрязняющих веществ в атмосферный воздух в крупных промышленных центрах, включая города Братск, Красноярск, Липецк, Магнитогорск, Медногорск, Нижний Тагил, Новокузнецк, Норильск, Омск, Челябинск, Череповец и Читу, с учетом сводных расчетов допустимого в этих городах негативного воздействия на окружающую среду;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применение всеми объектами, оказывающими значительное негативное воздействие на окружающую среду, системы экологического регулирования, основанной на использовании наилучших доступных технологий;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экологическая реабилитация водных объектов, в том числе реализация проекта, направленного на сокращение в три раза доли загрязненных сточных вод, отводимых в реку Волгу, устойчивое функционирование водохозяйственного комплекса Нижней Волги и сохранение экосистемы Волго-Ахтубинской поймы;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сохранение уникальных водных объектов, в том числе реализация проекта по сохранению озера Байкал, а также мероприятий по очистке от мусора берегов и прибрежной акватории озер Байкал, Телецкое, Ладожское, Онежское и рек Волги, Дона, Оби, Енисея, Амура, Урала, Печоры;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сохранение биологического разнообразия, включая увеличение площади особо охраняемых природных территорий на 5 млн. гектаров, реинтродукцию редких видов животных, создание инфраструктуры для экологического туризма в национальных парках, а также сохранение лесов, в том числе на основе их воспроизводства на всех участках вырубленных и погибших лесных насаждений.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8. Правительству Российской Федерации при разработке национального проекта по созданию безопасных и качественных автомобильных дорог исходить из того, что в 2024 году необходимо обеспечить: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увеличение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г.), а также утверждение органами государственной власти субъектов Российской Федерации таких нормативов исходя из установленных на федеральном уровне требований безопасности автомобильных дорог;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снижение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lastRenderedPageBreak/>
        <w:t>снижение количества мест концентрации дорожно-транспортных происшествий (аварийно-опасных участков) на дорожной сети в два раза по сравнению с 2017 годом;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снижение смертности в результате дорожно-транспортных происшествий в 3,5 раза по сравнению с 2017 годом - до уровня, не превышающего четырех человек на 100 тыс. населения (к 2030 году - стремление к нулевому уровню смертности);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доведение в крупнейших городских агломерациях доли автомобильных дорог, соответствующих нормативным требованиям, в их общей протяженности до 85 процентов;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применение новых механизмов развития и эксплуатации дорожной сети, включая использование инфраструктурной ипотеки, контрактов жизненного цикла, наилучших технологий и материалов;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 xml:space="preserve">доведение </w:t>
      </w:r>
      <w:proofErr w:type="gramStart"/>
      <w:r>
        <w:t>норматива зачисления налоговых доходов бюджетов субъектов Российской Федерации</w:t>
      </w:r>
      <w:proofErr w:type="gramEnd"/>
      <w:r>
        <w:t xml:space="preserve"> от акцизов на горюче-смазочные материалы до 100 процентов;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 xml:space="preserve">внедрение общедоступной информационной системы </w:t>
      </w:r>
      <w:proofErr w:type="gramStart"/>
      <w:r>
        <w:t>контроля за</w:t>
      </w:r>
      <w:proofErr w:type="gramEnd"/>
      <w:r>
        <w:t xml:space="preserve"> формированием и использованием средств дорожных фондов всех уровней (в 2019 году);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создание механизмов экономического стимулирования сохранности автомобильных дорог регионального и местного значения;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 xml:space="preserve">внедрение новых технических требований и стандартов </w:t>
      </w:r>
      <w:proofErr w:type="gramStart"/>
      <w:r>
        <w:t>обустройства</w:t>
      </w:r>
      <w:proofErr w:type="gramEnd"/>
      <w:r>
        <w:t xml:space="preserve"> автомобильных дорог, в том числе на основе цифровых технологий, направленных на устранение мест концентрации дорожно-транспортных происшествий;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 xml:space="preserve">внедрение автоматизированных и роботизированных технологий организации дорожного движения и </w:t>
      </w:r>
      <w:proofErr w:type="gramStart"/>
      <w:r>
        <w:t>контроля за</w:t>
      </w:r>
      <w:proofErr w:type="gramEnd"/>
      <w:r>
        <w:t xml:space="preserve"> соблюдением правил дорожного движения;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усиление ответственности водителей за нарушение правил дорожного движения, а также повышение требований к уровню их профессиональной подготовки.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 xml:space="preserve">9. Правительству Российской Федерации при реализации совместно с органами государственной власти субъектов Российской Федерации национальной </w:t>
      </w:r>
      <w:hyperlink r:id="rId15">
        <w:r>
          <w:rPr>
            <w:color w:val="0000FF"/>
          </w:rPr>
          <w:t>программы</w:t>
        </w:r>
      </w:hyperlink>
      <w:r>
        <w:t xml:space="preserve"> в сфере повышения производительности труда и поддержки занятости обеспечить в 2024 году: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рост производительности труда на средних и крупных предприятиях базовых несырьевых отраслей экономики не ниже 5 процентов в год;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привлечение к участию в реализации указанной национальной программы не менее 10 субъектов Российской Федерации ежегодно;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вовлечение в реализацию указанной национальной программы не менее 10 тыс. средних и крупных предприятий базовых несырьевых отраслей экономики;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стимулирование внедрения передовых управленческих, организационных и технологических решений для повышения производительности труда и модернизации основных фондов, в том числе посредством предоставления налоговых преференций;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 xml:space="preserve">сокращение нормативно-правовых и административных ограничений, препятствующих </w:t>
      </w:r>
      <w:r>
        <w:lastRenderedPageBreak/>
        <w:t>росту производительности труда, а также замещение устаревших и непроизводительных рабочих мест;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формирование системы методической и организационной поддержки повышения производительности труда на предприятиях;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формирование системы подготовки кадров, направленной на обучение основам повышения производительности труда, в том числе посредством использования цифровых технологий и платформенных решений.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10. Правительству Российской Федерации при разработке национального проекта в сфере науки исходить из того, что в 2024 году необходимо обеспечить: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обеспечение присутствия Российской Федерации в числе пяти ведущих стран мира, осуществляющих научные исследования и разработки в областях, определяемых приоритетами научно-технологического развития;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обеспечение привлекательности работы в Российской Федерации для российских и зарубежных ведущих ученых и молодых перспективных исследователей;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опережающее увеличение внутренних затрат на научные исследования и разработки за счет всех источников по сравнению с ростом валового внутреннего продукта страны;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создание передовой инфраструктуры научных исследований и разработок, инновационной деятельности, включая создание и развитие сети уникальных научных установок класса "мегасайенс";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обновление не менее 50 процентов приборной базы ведущих организаций, выполняющих научные исследования и разработки;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создание научных центров мирового уровня, включая сеть международных математических центров и центров геномных исследований;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создание не менее 15 научно-образовательных центров мирового уровня на основе интеграции университетов и научных организаций и их кооперации с организациями, действующими в реальном секторе экономики;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формирование целостной системы подготовки и профессионального роста научных и научно-педагогических кадров, обеспечивающей условия для осуществления молодыми учеными научных исследований и разработок, создания научных лабораторий и конкурентоспособных коллективов.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 xml:space="preserve">11. Правительству Российской Федерации при реализации совместно с органами государственной власти субъектов Российской Федерации национальной </w:t>
      </w:r>
      <w:hyperlink r:id="rId16">
        <w:r>
          <w:rPr>
            <w:color w:val="0000FF"/>
          </w:rPr>
          <w:t>программы</w:t>
        </w:r>
      </w:hyperlink>
      <w:r>
        <w:t xml:space="preserve"> "Цифровая экономика Российской Федерации" обеспечить в 2024 году: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увеличение внутренних затрат на развитие цифровой экономики за счет всех источников (по доле в валовом внутреннем продукте страны) не менее чем в три раза по сравнению с 2017 годом;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 xml:space="preserve">создание устойчивой и безопасной информационно-телекоммуникационной </w:t>
      </w:r>
      <w:r>
        <w:lastRenderedPageBreak/>
        <w:t>инфраструктуры высокоскоростной передачи, обработки и хранения больших объемов данных, доступной для всех организаций и домохозяйств;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использование преимущественно отечественного программного обеспечения государственными органами, органами местного самоуправления и организациями;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создание системы правового регулирования цифровой экономики, основанного на гибком подходе в каждой сфере, а также внедрение гражданского оборота на базе цифровых технологий;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создание глобальной конкурентоспособной инфраструктуры передачи, обработки и хранения данных преимущественно на основе отечественных разработок;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обеспечение подготовки высококвалифицированных кадров для цифровой экономики;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обеспечение информационной безопасности на основе отечественных разработок при передаче, обработке и хранении данных, гарантирующей защиту интересов личности, бизнеса и государства;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создание сквозных цифровых технологий преимущественно на основе отечественных разработок;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внедрение цифровых технологий и платформенных решений в сферах государственного управления и оказания государственных услуг, в том числе в интересах населения и субъектов малого и среднего предпринимательства, включая индивидуальных предпринимателей;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преобразование приоритетных отраслей экономики и социальной сферы, включая здравоохранение, образование, промышленность, сельское хозяйство, строительство, городское хозяйство, транспортную и энергетическую инфраструктуру, финансовые услуги, посредством внедрения цифровых технологий и платформенных решений;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создание комплексной системы финансирования проектов по разработке и (или) внедрению цифровых технологий и платформенных решений, включающей в себя венчурное финансирование и иные институты развития;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разработка и внедрение национального механизма осуществления согласованной политики государств - членов Евразийского экономического союза при реализации планов в области развития цифровой экономики.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12. Правительству Российской Федерации при разработке национальной программы в сфере культуры обратить особое внимание на необходимость: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а) укрепления российской гражданской идентичности на основе духовно-нравственных и культурных ценностей народов Российской Федерации;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б) создания (реконструкции) культурно-образовательных и музейных комплексов, включающих в себя концертные залы, театральные, музыкальные, хореографические и другие творческие школы, а также выставочные пространства;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в) обеспечения детских музыкальных, художественных, хореографических школ, училищ и школ искусств необходимыми инструментами, оборудованием и материалами;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г) продвижения талантливой молодежи в сфере музыкального искусства, в том числе посредством создания национального молодежного симфонического оркестра;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 xml:space="preserve">д) создания (реконструкции) культурно-досуговых организаций клубного типа на </w:t>
      </w:r>
      <w:r>
        <w:lastRenderedPageBreak/>
        <w:t>территориях сельских поселений, развития муниципальных библиотек;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е) создания виртуальных концертных залов не менее чем в 500 городах Российской Федерации;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ж) создания условий для показа национальных кинофильмов в кинозалах, расположенных в населенных пунктах с численностью населения до 500 тыс. человек;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з) подготовки кадров для организаций культуры;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и) модернизации региональных и муниципальных театров юного зрителя и кукольных театров путем их реконструкции и капитального ремонта;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к) поддержки добровольческих движений, в том числе в сфере сохранения культурного наследия народов Российской Федерации.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13. Правительству Российской Федерации при реализации совместно с органами государственной власти субъектов Российской Федерации национального проекта в сфере развития малого и среднего предпринимательства и поддержки индивидуальной предпринимательской инициативы обеспечить в 2024 году: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а) достижение следующего целевого показателя: увеличение численности занятых в сфере малого и среднего предпринимательства, включая индивидуальных предпринимателей, до 25 млн. человек;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улучшение условий ведения предпринимательской деятельности, включая упрощение налоговой отчетности для предпринимателей, применяющих контрольно-кассовую технику;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создание цифровой платформы, ориентированной на поддержку производственной и сбытовой деятельности субъектов малого и среднего предпринимательства, включая индивидуальных предпринимателей;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совершенствование системы закупок, осуществляемых крупнейшими заказчиками у субъектов малого и среднего предпринимательства, включая индивидуальных предпринимателей;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упрощение доступа к льготному финансированию, в том числе ежегодное увеличение объема льготных кредитов, выдаваемых субъектам малого и среднего предпринимательства, включая индивидуальных предпринимателей;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создание системы акселерации субъектов малого и среднего предпринимательства, включая индивидуальных предпринимателей, в том числе инфраструктуры и сервисов поддержки, а также их ускоренное развитие в таких областях, как благоустройство городской среды, научно-технологическая сфера, социальная сфера и экология;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модернизация системы поддержки экспортеров, являющихся субъектами малого и среднего предпринимательства, включая индивидуальных предпринимателей, увеличение доли таких экспортеров в общем объеме несырьевого экспорта не менее чем до 10 процентов;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создание системы поддержки фермеров и развитие сельской кооперации;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 xml:space="preserve">обеспечение благоприятных условий осуществления деятельности самозанятыми гражданами посредством создания нового режима налогообложения, предусматривающего передачу информации о продажах в налоговые органы Российской Федерации в автоматическом режиме, освобождение от обязанности представлять отчетность, а также уплату единого платежа </w:t>
      </w:r>
      <w:r>
        <w:lastRenderedPageBreak/>
        <w:t>с выручки, включающего в себя страховые взносы.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14. Правительству Российской Федерации при разработке национальной программы в сфере развития международной кооперации и экспорта исходить из того, что в 2024 году необходимо обеспечить: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формирование в обрабатывающей промышленности, сельском хозяйстве, сфере услуг глобальных конкурентоспособных несырьевых секторов, общая доля экспорта товаров (работ, услуг) которых составит не менее 20 процентов валового внутреннего продукта страны;</w:t>
      </w:r>
    </w:p>
    <w:p w:rsidR="006357ED" w:rsidRDefault="006357ED">
      <w:pPr>
        <w:pStyle w:val="ConsPlusNormal"/>
        <w:spacing w:before="220"/>
        <w:ind w:firstLine="540"/>
        <w:jc w:val="both"/>
      </w:pPr>
      <w:proofErr w:type="gramStart"/>
      <w:r>
        <w:t>достижение объема экспорта (в стоимостном выражении) несырьевых неэнергетических товаров в размере 250 млрд. долларов США в год, в том числе продукции машиностроения - 50 млрд. долларов США в год и продукции агропромышленного комплекса - 45 млрд. долларов США в год, а также объема экспорта оказываемых услуг в размере 100 млрд. долларов США в год;</w:t>
      </w:r>
      <w:proofErr w:type="gramEnd"/>
    </w:p>
    <w:p w:rsidR="006357ED" w:rsidRDefault="006357ED">
      <w:pPr>
        <w:pStyle w:val="ConsPlusNormal"/>
        <w:spacing w:before="220"/>
        <w:ind w:firstLine="540"/>
        <w:jc w:val="both"/>
      </w:pPr>
      <w:r>
        <w:t>формирование эффективной системы разделения труда и производственной кооперации в рамках Евразийского экономического союза в целях увеличения объема торговли между государствами - членами Союза не менее чем в полтора раза и обеспечения роста объема накопленных взаимных инвестиций в полтора раза;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ориентация промышленной, аграрной и торговой политики, включая применяемые механизмы государственной поддержки, на достижение международной конкурентоспособности российских товаров (работ, услуг) в целях обеспечения их присутствия на внешних рынках;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сокращение административных процедур и барьеров в сфере международной торговли, включая отмену избыточных требований при лицензировании экспорта и осуществлении валютного контроля, организация (к 2021 году) взаимодействия субъектов международной торговли с контролирующими органами по принципу "одного окна";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завершение создания гибкой линейки финансовых инструментов поддержки экспорта (к 2021 году), включая расширенное предэкспортное, экспортное и акционерное финансирование, лизинг и долгосрочные меры поддержки;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устранение логистических ограничений при экспорте товаров с использованием железнодорожного, автомобильного и морского транспорта, а также строительство (модернизация) пунктов пропуска через государственную границу Российской Федерации;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создание единой системы институтов продвижения экспорта, предусматривающей модернизацию торговых представительств Российской Федерации за рубежом;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завершение формирования в рамках Евразийского экономического союза общих рынков товаров, услуг, капитала и рабочей силы, включая окончательное устранение барьеров, ограничений и отмену изъятий в экономическом сотрудничестве, при одновременном активном использовании механизмов совместной проектной деятельности.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 xml:space="preserve">15. Правительству Российской Федерации на основе </w:t>
      </w:r>
      <w:hyperlink r:id="rId17">
        <w:r>
          <w:rPr>
            <w:color w:val="0000FF"/>
          </w:rPr>
          <w:t>стратегии</w:t>
        </w:r>
      </w:hyperlink>
      <w:r>
        <w:t xml:space="preserve"> пространственного развития Российской Федерации разработать с участием органов государственной власти субъектов Российской Федерации и до 1 октября 2018 г. утвердить комплексный </w:t>
      </w:r>
      <w:hyperlink r:id="rId18">
        <w:r>
          <w:rPr>
            <w:color w:val="0000FF"/>
          </w:rPr>
          <w:t>план</w:t>
        </w:r>
      </w:hyperlink>
      <w:r>
        <w:t xml:space="preserve"> модернизации и расширения магистральной инфраструктуры, предусматривающий обеспечение в 2024 году: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а) развития транспортных коридоров "Запад - Восток" и "Север - Юг" для перевозки грузов, в том числе за счет: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lastRenderedPageBreak/>
        <w:t xml:space="preserve">строительства и модернизации российских </w:t>
      </w:r>
      <w:proofErr w:type="gramStart"/>
      <w:r>
        <w:t>участков</w:t>
      </w:r>
      <w:proofErr w:type="gramEnd"/>
      <w:r>
        <w:t xml:space="preserve"> автомобильных дорог, относящихся к международному транспортному маршруту "Европа - Западный Китай";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увеличения мощностей морских портов Российской Федерации, включая порты Дальневосточного, Северо-Западного, Волго-Каспийского и Азово-Черноморского бассейнов;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развития Северного морского пути и увеличения грузопотока по нему до 80 млн. тонн;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сокращения времени перевозки контейнеров железнодорожным транспортом, в частности с Дальнего Востока до западной границы Российской Федерации до семи дней, и увеличения объема транзитных перевозок контейнеров железнодорожным транспортом в четыре раза;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формирования узловых грузовых мультимодальных транспортно-логистических центров;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увеличения пропускной способности Байкало-Амурской и Транссибирской железнодорожных магистралей в полтора раза, до 180 млн. тонн;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увеличения пропускной способности железнодорожных подходов к морским портам Азово-Черноморского бассейна;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б) повышения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инфраструктуры, в том числе за счет:</w:t>
      </w:r>
    </w:p>
    <w:p w:rsidR="006357ED" w:rsidRDefault="006357ED">
      <w:pPr>
        <w:pStyle w:val="ConsPlusNormal"/>
        <w:spacing w:before="220"/>
        <w:ind w:firstLine="540"/>
        <w:jc w:val="both"/>
      </w:pPr>
      <w:proofErr w:type="gramStart"/>
      <w:r>
        <w:t>поэтапного развития транспортных коммуникаций между административными центрами субъектов Российской Федерации и другими городами - центрами экономического роста, включая ликвидацию инфраструктурных ограничений на имеющих перспективы развития территориях, прилегающих к таким транспортным коммуникациям;</w:t>
      </w:r>
      <w:proofErr w:type="gramEnd"/>
    </w:p>
    <w:p w:rsidR="006357ED" w:rsidRDefault="006357ED">
      <w:pPr>
        <w:pStyle w:val="ConsPlusNormal"/>
        <w:spacing w:before="220"/>
        <w:ind w:firstLine="540"/>
        <w:jc w:val="both"/>
      </w:pPr>
      <w:r>
        <w:t>реконструкции инфраструктуры региональных аэропортов и расширения сети межрегиональных регулярных пассажирских авиационных маршрутов, минуя Москву, до 50 процентов от общего количества внутренних регулярных авиационных маршрутов;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создания основы для развития скоростного и высокоскоростного железнодорожного сообщения между крупными городами;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увеличения пропускной способности внутренних водных путей;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в) гарантированного обеспечения доступной электроэнергией, в том числе за счет: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электрификации транспортных коридоров "Запад - Восток" и "Север - Юг", включая Байкало-Амурскую и Транссибирскую железнодорожные магистрали, во взаимосвязи с развитием транспортной инфраструктуры;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развития централизованных энергосистем, включая модернизацию генерирующих мощностей тепловых, атомных и гидроэлектростанций в соответствии с потребностями социально-экономического развития;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 xml:space="preserve">устойчивого энергоснабжения потребителей на территориях субъектов Российской Федерации, прежде всего Республики Крым, </w:t>
      </w:r>
      <w:proofErr w:type="gramStart"/>
      <w:r>
        <w:t>г</w:t>
      </w:r>
      <w:proofErr w:type="gramEnd"/>
      <w:r>
        <w:t>. Севастополя, Калининградской области, а также субъектов Российской Федерации, входящих в состав Дальневосточного федерального округа;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 xml:space="preserve">развития распределенной генерации, в том числе на основе возобновляемых источников энергии, в первую очередь </w:t>
      </w:r>
      <w:proofErr w:type="gramStart"/>
      <w:r>
        <w:t>в</w:t>
      </w:r>
      <w:proofErr w:type="gramEnd"/>
      <w:r>
        <w:t xml:space="preserve"> удаленных и изолированных энергорайонах;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внедрения интеллектуальных систем управления электросетевым хозяйством на базе цифровых технологий.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lastRenderedPageBreak/>
        <w:t xml:space="preserve">16. Утратил силу. - </w:t>
      </w:r>
      <w:hyperlink r:id="rId19">
        <w:r>
          <w:rPr>
            <w:color w:val="0000FF"/>
          </w:rPr>
          <w:t>Указ</w:t>
        </w:r>
      </w:hyperlink>
      <w:r>
        <w:t xml:space="preserve"> Президента РФ от 21.07.2020 N 474.</w:t>
      </w:r>
    </w:p>
    <w:p w:rsidR="006357ED" w:rsidRDefault="006357ED">
      <w:pPr>
        <w:pStyle w:val="ConsPlusNormal"/>
        <w:spacing w:before="220"/>
        <w:ind w:firstLine="540"/>
        <w:jc w:val="both"/>
      </w:pPr>
      <w:r>
        <w:t>17. Настоящий Указ вступает в силу со дня его официального опубликования.</w:t>
      </w:r>
    </w:p>
    <w:p w:rsidR="006357ED" w:rsidRDefault="006357ED">
      <w:pPr>
        <w:pStyle w:val="ConsPlusNormal"/>
        <w:jc w:val="both"/>
      </w:pPr>
    </w:p>
    <w:p w:rsidR="006357ED" w:rsidRDefault="006357ED">
      <w:pPr>
        <w:pStyle w:val="ConsPlusNormal"/>
        <w:jc w:val="right"/>
      </w:pPr>
      <w:r>
        <w:t>Президент</w:t>
      </w:r>
    </w:p>
    <w:p w:rsidR="006357ED" w:rsidRDefault="006357ED">
      <w:pPr>
        <w:pStyle w:val="ConsPlusNormal"/>
        <w:jc w:val="right"/>
      </w:pPr>
      <w:r>
        <w:t>Российской Федерации</w:t>
      </w:r>
    </w:p>
    <w:p w:rsidR="006357ED" w:rsidRDefault="006357ED">
      <w:pPr>
        <w:pStyle w:val="ConsPlusNormal"/>
        <w:jc w:val="right"/>
      </w:pPr>
      <w:r>
        <w:t>В.ПУТИН</w:t>
      </w:r>
    </w:p>
    <w:p w:rsidR="006357ED" w:rsidRDefault="006357ED">
      <w:pPr>
        <w:pStyle w:val="ConsPlusNormal"/>
      </w:pPr>
      <w:r>
        <w:t>Москва, Кремль</w:t>
      </w:r>
    </w:p>
    <w:p w:rsidR="006357ED" w:rsidRDefault="006357ED">
      <w:pPr>
        <w:pStyle w:val="ConsPlusNormal"/>
        <w:spacing w:before="220"/>
      </w:pPr>
      <w:r>
        <w:t>7 мая 2018 года</w:t>
      </w:r>
    </w:p>
    <w:p w:rsidR="006357ED" w:rsidRDefault="006357ED">
      <w:pPr>
        <w:pStyle w:val="ConsPlusNormal"/>
        <w:spacing w:before="220"/>
      </w:pPr>
      <w:r>
        <w:t>N 204</w:t>
      </w:r>
    </w:p>
    <w:p w:rsidR="006357ED" w:rsidRDefault="006357ED">
      <w:pPr>
        <w:pStyle w:val="ConsPlusNormal"/>
        <w:jc w:val="both"/>
      </w:pPr>
    </w:p>
    <w:p w:rsidR="006357ED" w:rsidRDefault="006357ED">
      <w:pPr>
        <w:pStyle w:val="ConsPlusNormal"/>
        <w:jc w:val="both"/>
      </w:pPr>
    </w:p>
    <w:p w:rsidR="006357ED" w:rsidRDefault="006357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548A" w:rsidRDefault="006357ED"/>
    <w:sectPr w:rsidR="00D3548A" w:rsidSect="00C27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6357ED"/>
    <w:rsid w:val="001536E8"/>
    <w:rsid w:val="006357ED"/>
    <w:rsid w:val="00734351"/>
    <w:rsid w:val="00C04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57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357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57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3F8EBDA1F24C362D9FB06529345787EBCDF7E34C3FA093F33733388A1CC43368AC9A042F40EC7DCA2E8894C5480BA2C71C5C1383F8A8A9vDRCE" TargetMode="External"/><Relationship Id="rId13" Type="http://schemas.openxmlformats.org/officeDocument/2006/relationships/hyperlink" Target="consultantplus://offline/ref=F23F8EBDA1F24C362D9FB06529345787EBC4F3EE4A3DA093F33733388A1CC43368AC9A042F40EC7CCC2E8894C5480BA2C71C5C1383F8A8A9vDRCE" TargetMode="External"/><Relationship Id="rId18" Type="http://schemas.openxmlformats.org/officeDocument/2006/relationships/hyperlink" Target="consultantplus://offline/ref=F23F8EBDA1F24C362D9FB06529345787EBCDF8EC4F3EA093F33733388A1CC43368AC9A042F40EC7CCE2E8894C5480BA2C71C5C1383F8A8A9vDRC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23F8EBDA1F24C362D9FB06529345787EBC8F7E2493AA093F33733388A1CC43368AC9A042F40EC78CA2E8894C5480BA2C71C5C1383F8A8A9vDRCE" TargetMode="External"/><Relationship Id="rId12" Type="http://schemas.openxmlformats.org/officeDocument/2006/relationships/hyperlink" Target="consultantplus://offline/ref=F23F8EBDA1F24C362D9FB06529345787E9C9F1EC4A3CA093F33733388A1CC43368AC9A042F40ED7FCB2E8894C5480BA2C71C5C1383F8A8A9vDRCE" TargetMode="External"/><Relationship Id="rId17" Type="http://schemas.openxmlformats.org/officeDocument/2006/relationships/hyperlink" Target="consultantplus://offline/ref=F23F8EBDA1F24C362D9FB06529345787ECCFF8E94A3CA093F33733388A1CC43368AC9A042F40EC7DC12E8894C5480BA2C71C5C1383F8A8A9vDRC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23F8EBDA1F24C362D9FB06529345787EBCFF8E34E39A093F33733388A1CC4337AACC2082D40F27DCB3BDEC583v1RE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3F8EBDA1F24C362D9FB06529345787EBC8F7E2493AA093F33733388A1CC43368AC9A042F40EC78CA2E8894C5480BA2C71C5C1383F8A8A9vDRCE" TargetMode="External"/><Relationship Id="rId11" Type="http://schemas.openxmlformats.org/officeDocument/2006/relationships/hyperlink" Target="consultantplus://offline/ref=F23F8EBDA1F24C362D9FB06529345787EBC4F1EA4D38A093F33733388A1CC43368AC9A042F40EC7CCF2E8894C5480BA2C71C5C1383F8A8A9vDRCE" TargetMode="External"/><Relationship Id="rId5" Type="http://schemas.openxmlformats.org/officeDocument/2006/relationships/hyperlink" Target="consultantplus://offline/ref=F23F8EBDA1F24C362D9FB06529345787EBC4F1EA4D38A093F33733388A1CC43368AC9A042F40EC7CCF2E8894C5480BA2C71C5C1383F8A8A9vDRCE" TargetMode="External"/><Relationship Id="rId15" Type="http://schemas.openxmlformats.org/officeDocument/2006/relationships/hyperlink" Target="consultantplus://offline/ref=F23F8EBDA1F24C362D9FB06529345787EACAF8EE4E3BA093F33733388A1CC4337AACC2082D40F27DCB3BDEC583v1REE" TargetMode="External"/><Relationship Id="rId10" Type="http://schemas.openxmlformats.org/officeDocument/2006/relationships/hyperlink" Target="consultantplus://offline/ref=F23F8EBDA1F24C362D9FB06529345787EBCCF0E94E3CA093F33733388A1CC43368AC9A042F40EC7DC92E8894C5480BA2C71C5C1383F8A8A9vDRCE" TargetMode="External"/><Relationship Id="rId19" Type="http://schemas.openxmlformats.org/officeDocument/2006/relationships/hyperlink" Target="consultantplus://offline/ref=F23F8EBDA1F24C362D9FB06529345787EBC8F7E2493AA093F33733388A1CC43368AC9A042F40EC78CA2E8894C5480BA2C71C5C1383F8A8A9vDRC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23F8EBDA1F24C362D9FB06529345787EBCDF8EA4D3BA093F33733388A1CC4337AACC2082D40F27DCB3BDEC583v1REE" TargetMode="External"/><Relationship Id="rId14" Type="http://schemas.openxmlformats.org/officeDocument/2006/relationships/hyperlink" Target="consultantplus://offline/ref=F23F8EBDA1F24C362D9FB06529345787ECCEF3ED4C3DA093F33733388A1CC43368AC9A042F40EC7DCF2E8894C5480BA2C71C5C1383F8A8A9vDR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5246</Words>
  <Characters>29907</Characters>
  <Application>Microsoft Office Word</Application>
  <DocSecurity>0</DocSecurity>
  <Lines>249</Lines>
  <Paragraphs>70</Paragraphs>
  <ScaleCrop>false</ScaleCrop>
  <Company>diakov.net</Company>
  <LinksUpToDate>false</LinksUpToDate>
  <CharactersWithSpaces>35083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NACH-EKONOMIST</dc:creator>
  <cp:lastModifiedBy>NACH-EKONOMIST</cp:lastModifiedBy>
  <cp:revision>1</cp:revision>
  <dcterms:created xsi:type="dcterms:W3CDTF">2023-03-20T04:17:00Z</dcterms:created>
  <dcterms:modified xsi:type="dcterms:W3CDTF">2023-03-20T04:19:00Z</dcterms:modified>
</cp:coreProperties>
</file>